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2" w:rsidRPr="00EA0ED5" w:rsidRDefault="005D42D2" w:rsidP="005D42D2">
      <w:pPr>
        <w:pStyle w:val="Nadpis2"/>
        <w:spacing w:after="120"/>
        <w:jc w:val="center"/>
        <w:rPr>
          <w:rFonts w:ascii="Times New Roman" w:hAnsi="Times New Roman"/>
        </w:rPr>
      </w:pPr>
      <w:bookmarkStart w:id="0" w:name="_Toc287963459"/>
      <w:r w:rsidRPr="00EA0ED5">
        <w:rPr>
          <w:rFonts w:ascii="Times New Roman" w:hAnsi="Times New Roman"/>
        </w:rPr>
        <w:t>Výkon státního požárního dozoru</w:t>
      </w:r>
      <w:bookmarkEnd w:id="0"/>
    </w:p>
    <w:p w:rsidR="00654454" w:rsidRDefault="005D42D2" w:rsidP="005D42D2">
      <w:pPr>
        <w:pStyle w:val="Mjodstavec"/>
      </w:pPr>
      <w:bookmarkStart w:id="1" w:name="_Toc287963460"/>
      <w:r w:rsidRPr="00EA0ED5">
        <w:t xml:space="preserve">HZS Jihočeského kraje vykonává státní požární dozor v rozsahu a způsobem vymezeném zákonem č. 133/1985 Sb., o požární ochraně, ve znění pozdějších předpisů (dále jen „zákon o požární ochraně“) a vyhláškou č. 246/2001 Sb., o stanovení podmínek požární bezpečnosti a výkonu státního požárního dozoru (vyhláška o požární prevenci), ve znění vyhlášky č. 221/2014 Sb. Povinnosti při výkonu státního požárního dozoru spolu úzce souvisí a vzájemně na sebe navazují. </w:t>
      </w:r>
    </w:p>
    <w:p w:rsidR="00654454" w:rsidRDefault="005D42D2" w:rsidP="005D42D2">
      <w:pPr>
        <w:pStyle w:val="Mjodstavec"/>
      </w:pPr>
      <w:r w:rsidRPr="00EA0ED5">
        <w:t xml:space="preserve">Z hlediska převažujícího obsahového zaměření lze výkon státního požárního dozoru rozdělit do oblastí: </w:t>
      </w:r>
    </w:p>
    <w:p w:rsidR="00654454" w:rsidRDefault="005D42D2" w:rsidP="00654454">
      <w:pPr>
        <w:pStyle w:val="Mjodstavec"/>
        <w:numPr>
          <w:ilvl w:val="0"/>
          <w:numId w:val="3"/>
        </w:numPr>
        <w:spacing w:after="0"/>
        <w:ind w:left="1208" w:hanging="357"/>
      </w:pPr>
      <w:r w:rsidRPr="00EA0ED5">
        <w:t xml:space="preserve">kontrolní činnost, </w:t>
      </w:r>
    </w:p>
    <w:p w:rsidR="00654454" w:rsidRDefault="005D42D2" w:rsidP="00654454">
      <w:pPr>
        <w:pStyle w:val="Mjodstavec"/>
        <w:numPr>
          <w:ilvl w:val="0"/>
          <w:numId w:val="3"/>
        </w:numPr>
        <w:spacing w:after="0"/>
        <w:ind w:left="1208" w:hanging="357"/>
      </w:pPr>
      <w:r w:rsidRPr="00EA0ED5">
        <w:t xml:space="preserve">stavební prevence, </w:t>
      </w:r>
    </w:p>
    <w:p w:rsidR="00654454" w:rsidRDefault="005D42D2" w:rsidP="00654454">
      <w:pPr>
        <w:pStyle w:val="Mjodstavec"/>
        <w:numPr>
          <w:ilvl w:val="0"/>
          <w:numId w:val="3"/>
        </w:numPr>
        <w:spacing w:after="0"/>
        <w:ind w:left="1208" w:hanging="357"/>
      </w:pPr>
      <w:r w:rsidRPr="00EA0ED5">
        <w:t>zjišťování příčin vzniku požáru</w:t>
      </w:r>
      <w:r w:rsidR="00654454">
        <w:t xml:space="preserve"> a</w:t>
      </w:r>
    </w:p>
    <w:p w:rsidR="005D42D2" w:rsidRPr="00EA0ED5" w:rsidRDefault="005D42D2" w:rsidP="00CE3990">
      <w:pPr>
        <w:pStyle w:val="Mjodstavec"/>
        <w:numPr>
          <w:ilvl w:val="0"/>
          <w:numId w:val="3"/>
        </w:numPr>
      </w:pPr>
      <w:r w:rsidRPr="00EA0ED5">
        <w:t>správní a přestupkové řízení.</w:t>
      </w:r>
    </w:p>
    <w:p w:rsidR="005D42D2" w:rsidRPr="00EA0ED5" w:rsidRDefault="005D42D2" w:rsidP="005D42D2">
      <w:pPr>
        <w:pStyle w:val="Mjodstavec"/>
      </w:pPr>
      <w:r w:rsidRPr="00EA0ED5">
        <w:t xml:space="preserve">Na výkonu státního požárního dozoru ve smyslu § 31 zákona o požární </w:t>
      </w:r>
      <w:proofErr w:type="gramStart"/>
      <w:r w:rsidRPr="00EA0ED5">
        <w:t xml:space="preserve">ochraně </w:t>
      </w:r>
      <w:r w:rsidR="00AB35E8">
        <w:t xml:space="preserve">             </w:t>
      </w:r>
      <w:r w:rsidRPr="00EA0ED5">
        <w:t>se</w:t>
      </w:r>
      <w:proofErr w:type="gramEnd"/>
      <w:r w:rsidRPr="00EA0ED5">
        <w:t xml:space="preserve"> podílí oddělení stavební prevence, kontrolní činnosti a zjišťování příčin vzniku požárů krajského ředitelství HZS Jihočeského kraje v počtu 15 příslušníků, přičemž tito příslušníci vykonávají státní požární dozor i pro území okresu České Budějovice. Dále se na výkonu státního požárního dozoru podílí příslušníci pracoviště prevence, ochrany </w:t>
      </w:r>
      <w:proofErr w:type="gramStart"/>
      <w:r w:rsidRPr="00EA0ED5">
        <w:t xml:space="preserve">obyvatelstva </w:t>
      </w:r>
      <w:r w:rsidR="00AB35E8">
        <w:t xml:space="preserve">           </w:t>
      </w:r>
      <w:r w:rsidRPr="00EA0ED5">
        <w:t>a krizového</w:t>
      </w:r>
      <w:proofErr w:type="gramEnd"/>
      <w:r w:rsidRPr="00EA0ED5">
        <w:t xml:space="preserve"> řízení </w:t>
      </w:r>
      <w:r>
        <w:t xml:space="preserve">územních </w:t>
      </w:r>
      <w:r w:rsidRPr="00EA0ED5">
        <w:t>odborů HZS Jihočeského kraje, která jsou dislokována na území okresů Český Krumlov, Jindřichův Hradec, Písek, Prachatice, Strakonice a Tábor v celkovém počtu 3</w:t>
      </w:r>
      <w:r>
        <w:t>1</w:t>
      </w:r>
      <w:r w:rsidRPr="00EA0ED5">
        <w:t xml:space="preserve"> příslušníků.</w:t>
      </w:r>
    </w:p>
    <w:p w:rsidR="005D42D2" w:rsidRPr="00EA0ED5" w:rsidRDefault="005D42D2" w:rsidP="005D42D2">
      <w:pPr>
        <w:pStyle w:val="Seznam2"/>
        <w:tabs>
          <w:tab w:val="left" w:pos="0"/>
          <w:tab w:val="left" w:pos="360"/>
          <w:tab w:val="left" w:pos="540"/>
        </w:tabs>
        <w:ind w:left="0" w:firstLine="0"/>
        <w:jc w:val="both"/>
        <w:rPr>
          <w:b/>
        </w:rPr>
      </w:pPr>
    </w:p>
    <w:p w:rsidR="005D42D2" w:rsidRPr="00EA0ED5" w:rsidRDefault="005D42D2" w:rsidP="005D42D2">
      <w:pPr>
        <w:pStyle w:val="Seznam2"/>
        <w:tabs>
          <w:tab w:val="left" w:pos="0"/>
          <w:tab w:val="left" w:pos="360"/>
          <w:tab w:val="left" w:pos="540"/>
        </w:tabs>
        <w:ind w:left="0" w:firstLine="0"/>
        <w:jc w:val="both"/>
        <w:rPr>
          <w:b/>
          <w:i/>
        </w:rPr>
      </w:pPr>
      <w:r w:rsidRPr="00EA0ED5">
        <w:rPr>
          <w:b/>
          <w:i/>
        </w:rPr>
        <w:t>Tabulka č. 1: Vyhodnocení činnosti oddělení stavební prevence, kontrolní činnosti a zjišťování příčin vzniku požáru a pracoviště prevence, ochrany obyvatelstva a krizového řízení územních odborů v rámci výkonu státního požárního dozoru za rok 201</w:t>
      </w:r>
      <w:r w:rsidR="00D86627">
        <w:rPr>
          <w:b/>
          <w:i/>
        </w:rPr>
        <w:t>8</w:t>
      </w:r>
      <w:r w:rsidRPr="00EA0ED5">
        <w:rPr>
          <w:rStyle w:val="Znakapoznpodarou"/>
          <w:b/>
          <w:i/>
        </w:rPr>
        <w:footnoteReference w:id="1"/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420"/>
      </w:tblGrid>
      <w:tr w:rsidR="005D42D2" w:rsidRPr="00EA0ED5" w:rsidTr="00AA199D">
        <w:trPr>
          <w:trHeight w:val="418"/>
          <w:jc w:val="center"/>
        </w:trPr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spacing w:line="300" w:lineRule="exact"/>
              <w:rPr>
                <w:b/>
                <w:bCs/>
                <w:sz w:val="22"/>
                <w:szCs w:val="16"/>
              </w:rPr>
            </w:pPr>
            <w:r w:rsidRPr="00EA0ED5">
              <w:rPr>
                <w:b/>
                <w:bCs/>
                <w:sz w:val="22"/>
                <w:szCs w:val="16"/>
              </w:rPr>
              <w:t xml:space="preserve">Počet akcí v rámci výkonu </w:t>
            </w:r>
            <w:proofErr w:type="gramStart"/>
            <w:r w:rsidRPr="00EA0ED5">
              <w:rPr>
                <w:b/>
                <w:bCs/>
                <w:sz w:val="22"/>
                <w:szCs w:val="16"/>
              </w:rPr>
              <w:t>SPD :</w:t>
            </w:r>
            <w:proofErr w:type="gram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spacing w:line="300" w:lineRule="exact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5D42D2" w:rsidRPr="00EA0ED5" w:rsidTr="00AA199D">
        <w:trPr>
          <w:trHeight w:val="300"/>
          <w:jc w:val="center"/>
        </w:trPr>
        <w:tc>
          <w:tcPr>
            <w:tcW w:w="576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spacing w:line="300" w:lineRule="exact"/>
              <w:rPr>
                <w:b/>
                <w:sz w:val="22"/>
                <w:szCs w:val="16"/>
              </w:rPr>
            </w:pPr>
            <w:r w:rsidRPr="00EA0ED5">
              <w:rPr>
                <w:b/>
                <w:sz w:val="22"/>
                <w:szCs w:val="16"/>
              </w:rPr>
              <w:t>Kontrolní činnost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16"/>
              </w:rPr>
              <w:t>678</w:t>
            </w:r>
          </w:p>
        </w:tc>
      </w:tr>
      <w:tr w:rsidR="005D42D2" w:rsidRPr="00EA0ED5" w:rsidTr="00AA199D">
        <w:trPr>
          <w:trHeight w:val="300"/>
          <w:jc w:val="center"/>
        </w:trPr>
        <w:tc>
          <w:tcPr>
            <w:tcW w:w="5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spacing w:line="300" w:lineRule="exact"/>
              <w:rPr>
                <w:b/>
                <w:sz w:val="22"/>
                <w:szCs w:val="16"/>
              </w:rPr>
            </w:pPr>
            <w:r w:rsidRPr="00EA0ED5">
              <w:rPr>
                <w:b/>
                <w:sz w:val="22"/>
                <w:szCs w:val="16"/>
              </w:rPr>
              <w:t>Stavební prevence</w:t>
            </w:r>
          </w:p>
        </w:tc>
        <w:tc>
          <w:tcPr>
            <w:tcW w:w="3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42D2" w:rsidRPr="0011458A" w:rsidRDefault="005D42D2" w:rsidP="00AA199D">
            <w:pPr>
              <w:jc w:val="center"/>
              <w:rPr>
                <w:b/>
                <w:bCs/>
                <w:sz w:val="22"/>
                <w:szCs w:val="16"/>
              </w:rPr>
            </w:pPr>
            <w:r w:rsidRPr="0011458A">
              <w:rPr>
                <w:b/>
                <w:bCs/>
                <w:sz w:val="22"/>
                <w:szCs w:val="16"/>
              </w:rPr>
              <w:t>7221</w:t>
            </w:r>
          </w:p>
        </w:tc>
      </w:tr>
      <w:tr w:rsidR="005D42D2" w:rsidRPr="00EA0ED5" w:rsidTr="00AA199D">
        <w:trPr>
          <w:trHeight w:val="300"/>
          <w:jc w:val="center"/>
        </w:trPr>
        <w:tc>
          <w:tcPr>
            <w:tcW w:w="5760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rPr>
                <w:b/>
                <w:sz w:val="22"/>
                <w:szCs w:val="16"/>
              </w:rPr>
            </w:pPr>
            <w:r w:rsidRPr="00EA0ED5">
              <w:rPr>
                <w:b/>
                <w:sz w:val="22"/>
                <w:szCs w:val="16"/>
              </w:rPr>
              <w:t>Zjišťování příčin požárů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5D42D2" w:rsidRPr="00303884" w:rsidRDefault="00241C3C" w:rsidP="00AA199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41C3C">
              <w:rPr>
                <w:b/>
                <w:bCs/>
                <w:sz w:val="22"/>
                <w:szCs w:val="16"/>
              </w:rPr>
              <w:t>1097</w:t>
            </w:r>
          </w:p>
        </w:tc>
      </w:tr>
      <w:tr w:rsidR="005D42D2" w:rsidRPr="00EA0ED5" w:rsidTr="00AA199D">
        <w:trPr>
          <w:trHeight w:val="300"/>
          <w:jc w:val="center"/>
        </w:trPr>
        <w:tc>
          <w:tcPr>
            <w:tcW w:w="5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rPr>
                <w:b/>
                <w:sz w:val="22"/>
                <w:szCs w:val="16"/>
              </w:rPr>
            </w:pPr>
            <w:r w:rsidRPr="00EA0ED5">
              <w:rPr>
                <w:b/>
                <w:sz w:val="22"/>
                <w:szCs w:val="16"/>
              </w:rPr>
              <w:t>Celkem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D42D2" w:rsidRPr="00EA0ED5" w:rsidRDefault="00241C3C" w:rsidP="00AA199D">
            <w:pPr>
              <w:jc w:val="center"/>
              <w:rPr>
                <w:b/>
                <w:bCs/>
                <w:sz w:val="22"/>
                <w:szCs w:val="16"/>
                <w:highlight w:val="yellow"/>
              </w:rPr>
            </w:pPr>
            <w:r>
              <w:rPr>
                <w:b/>
                <w:bCs/>
                <w:sz w:val="22"/>
                <w:szCs w:val="16"/>
              </w:rPr>
              <w:t>8996</w:t>
            </w:r>
          </w:p>
        </w:tc>
      </w:tr>
      <w:tr w:rsidR="005D42D2" w:rsidRPr="00EA0ED5" w:rsidTr="00AA199D">
        <w:trPr>
          <w:trHeight w:val="300"/>
          <w:jc w:val="center"/>
        </w:trPr>
        <w:tc>
          <w:tcPr>
            <w:tcW w:w="576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D2" w:rsidRPr="00EA0ED5" w:rsidRDefault="005D42D2" w:rsidP="00AA199D">
            <w:pPr>
              <w:rPr>
                <w:b/>
                <w:sz w:val="22"/>
                <w:szCs w:val="16"/>
              </w:rPr>
            </w:pPr>
            <w:r w:rsidRPr="00EA0ED5">
              <w:rPr>
                <w:b/>
                <w:sz w:val="22"/>
                <w:szCs w:val="16"/>
              </w:rPr>
              <w:t>Počet příslušníků, kteří se zabývají prevencí, v rámci oddělení prevence KŘ a pracovišť prevence, ochrany obyvatelstva a krizového řízení ÚO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16"/>
              </w:rPr>
            </w:pPr>
            <w:r w:rsidRPr="00EA0ED5">
              <w:rPr>
                <w:b/>
                <w:bCs/>
                <w:sz w:val="22"/>
                <w:szCs w:val="16"/>
              </w:rPr>
              <w:t>4</w:t>
            </w:r>
            <w:r>
              <w:rPr>
                <w:b/>
                <w:bCs/>
                <w:sz w:val="22"/>
                <w:szCs w:val="16"/>
              </w:rPr>
              <w:t>6</w:t>
            </w:r>
          </w:p>
        </w:tc>
      </w:tr>
    </w:tbl>
    <w:p w:rsidR="005D42D2" w:rsidRPr="00EA0ED5" w:rsidRDefault="005D42D2" w:rsidP="005D42D2">
      <w:pPr>
        <w:pStyle w:val="Nadpis3"/>
        <w:spacing w:after="120"/>
        <w:rPr>
          <w:rFonts w:ascii="Times New Roman" w:hAnsi="Times New Roman"/>
          <w:i/>
          <w:iCs/>
          <w:sz w:val="24"/>
        </w:rPr>
      </w:pPr>
      <w:r w:rsidRPr="00EA0ED5">
        <w:rPr>
          <w:rFonts w:ascii="Times New Roman" w:hAnsi="Times New Roman"/>
          <w:i/>
          <w:iCs/>
          <w:sz w:val="24"/>
        </w:rPr>
        <w:t>Kontrolní činnost</w:t>
      </w:r>
      <w:bookmarkEnd w:id="1"/>
    </w:p>
    <w:p w:rsidR="005D42D2" w:rsidRPr="00EA0ED5" w:rsidRDefault="005D42D2" w:rsidP="005D42D2">
      <w:pPr>
        <w:pStyle w:val="Mjodstavec"/>
      </w:pPr>
      <w:bookmarkStart w:id="2" w:name="_Toc287963461"/>
      <w:r w:rsidRPr="00EA0ED5">
        <w:t>Příslušníci HZS JčK provádějící kontrolní činnost plnili v roce 201</w:t>
      </w:r>
      <w:r>
        <w:t>8</w:t>
      </w:r>
      <w:r w:rsidRPr="00EA0ED5">
        <w:t xml:space="preserve"> zejména následující úkoly: </w:t>
      </w:r>
    </w:p>
    <w:p w:rsidR="005D42D2" w:rsidRPr="00EA0ED5" w:rsidRDefault="005D42D2" w:rsidP="005D42D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výkon státního požárního dozoru formou kontrol dodržování povinností stanovených předpisy o požární ochraně, </w:t>
      </w:r>
    </w:p>
    <w:p w:rsidR="005D42D2" w:rsidRPr="00EA0ED5" w:rsidRDefault="005D42D2" w:rsidP="005D42D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lastRenderedPageBreak/>
        <w:t xml:space="preserve">zpracování plánu kontrolní činnosti, popř. zpracování stanoviska k návrhům plánů kontrol, </w:t>
      </w:r>
    </w:p>
    <w:p w:rsidR="005D42D2" w:rsidRPr="00EA0ED5" w:rsidRDefault="005D42D2" w:rsidP="005D42D2">
      <w:pPr>
        <w:numPr>
          <w:ilvl w:val="0"/>
          <w:numId w:val="2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 xml:space="preserve">posuzování bezpečnostní dokumentace zpracovávané a předkládané v rámci prevence závažných havárií způsobených vybranými nebezpečnými chemickými látkami a chemickými přípravky, </w:t>
      </w:r>
    </w:p>
    <w:p w:rsidR="005D42D2" w:rsidRPr="00EA0ED5" w:rsidRDefault="005D42D2" w:rsidP="005D42D2">
      <w:pPr>
        <w:numPr>
          <w:ilvl w:val="0"/>
          <w:numId w:val="2"/>
        </w:numPr>
        <w:tabs>
          <w:tab w:val="clear" w:pos="567"/>
          <w:tab w:val="num" w:pos="900"/>
        </w:tabs>
        <w:spacing w:after="120"/>
        <w:ind w:left="900" w:hanging="540"/>
        <w:jc w:val="both"/>
      </w:pPr>
      <w:r w:rsidRPr="00EA0ED5">
        <w:t>schvalování posouzení požárního nebezpečí činností s vysokým požárním nebezpečím.</w:t>
      </w:r>
    </w:p>
    <w:p w:rsidR="005D42D2" w:rsidRPr="00EA0ED5" w:rsidRDefault="005D42D2" w:rsidP="005D42D2">
      <w:pPr>
        <w:pStyle w:val="Mjodstavec"/>
      </w:pPr>
      <w:r w:rsidRPr="00EA0ED5">
        <w:t>Kontrolní činnost byla v uplynulém roce zajišťována v souladu s „Plánem kontrol HZS Jihočeského kraje na rok 201</w:t>
      </w:r>
      <w:r>
        <w:t>8</w:t>
      </w:r>
      <w:r w:rsidRPr="00EA0ED5">
        <w:t xml:space="preserve">“. </w:t>
      </w:r>
    </w:p>
    <w:p w:rsidR="005D42D2" w:rsidRPr="00EA0ED5" w:rsidRDefault="005D42D2" w:rsidP="005D42D2">
      <w:pPr>
        <w:jc w:val="both"/>
      </w:pPr>
    </w:p>
    <w:p w:rsidR="005D42D2" w:rsidRPr="00EA0ED5" w:rsidRDefault="005D42D2" w:rsidP="005D42D2">
      <w:pPr>
        <w:jc w:val="both"/>
        <w:rPr>
          <w:b/>
          <w:i/>
        </w:rPr>
      </w:pPr>
      <w:r w:rsidRPr="00EA0ED5">
        <w:rPr>
          <w:b/>
          <w:i/>
        </w:rPr>
        <w:t>Tabulka č. 2: Přehled provedených požárních kontrol u právnických osob a podnikajících fyzických osob</w:t>
      </w: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134"/>
        <w:gridCol w:w="993"/>
        <w:gridCol w:w="992"/>
        <w:gridCol w:w="765"/>
        <w:gridCol w:w="960"/>
        <w:gridCol w:w="1020"/>
        <w:gridCol w:w="940"/>
        <w:gridCol w:w="1346"/>
      </w:tblGrid>
      <w:tr w:rsidR="005D42D2" w:rsidRPr="00EA0ED5" w:rsidTr="00AA199D">
        <w:trPr>
          <w:cantSplit/>
          <w:trHeight w:val="327"/>
          <w:jc w:val="center"/>
        </w:trPr>
        <w:tc>
          <w:tcPr>
            <w:tcW w:w="13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Požární kontrola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Ředitelství HZS JčK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HZS JčK územní odbor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22"/>
              </w:rPr>
            </w:pPr>
            <w:r w:rsidRPr="00EA0ED5">
              <w:rPr>
                <w:b/>
                <w:bCs/>
                <w:sz w:val="22"/>
                <w:szCs w:val="22"/>
              </w:rPr>
              <w:t>Celkem HZS JčK</w:t>
            </w:r>
          </w:p>
        </w:tc>
      </w:tr>
      <w:tr w:rsidR="005D42D2" w:rsidRPr="00EA0ED5" w:rsidTr="00AA199D">
        <w:trPr>
          <w:cantSplit/>
          <w:trHeight w:val="327"/>
          <w:jc w:val="center"/>
        </w:trPr>
        <w:tc>
          <w:tcPr>
            <w:tcW w:w="134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Český Krumlov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7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Tábor</w:t>
            </w:r>
          </w:p>
        </w:tc>
        <w:tc>
          <w:tcPr>
            <w:tcW w:w="13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42D2" w:rsidRPr="00EA0ED5" w:rsidTr="00AA199D">
        <w:trPr>
          <w:cantSplit/>
          <w:trHeight w:val="327"/>
          <w:jc w:val="center"/>
        </w:trPr>
        <w:tc>
          <w:tcPr>
            <w:tcW w:w="1347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komplexní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42D2" w:rsidRPr="00EA0ED5" w:rsidTr="00AA199D">
        <w:trPr>
          <w:cantSplit/>
          <w:trHeight w:val="327"/>
          <w:jc w:val="center"/>
        </w:trPr>
        <w:tc>
          <w:tcPr>
            <w:tcW w:w="134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tematické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5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4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4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446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42D2" w:rsidRPr="00EA0ED5" w:rsidTr="00AA199D">
        <w:trPr>
          <w:cantSplit/>
          <w:trHeight w:val="498"/>
          <w:jc w:val="center"/>
        </w:trPr>
        <w:tc>
          <w:tcPr>
            <w:tcW w:w="134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úkony předcházející kontrole</w:t>
            </w:r>
            <w:r w:rsidR="00CE3990">
              <w:rPr>
                <w:b/>
                <w:sz w:val="22"/>
                <w:szCs w:val="22"/>
              </w:rPr>
              <w:t xml:space="preserve"> (ÚPK)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4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46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157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42D2" w:rsidRPr="00EA0ED5" w:rsidRDefault="005D42D2" w:rsidP="005D42D2">
      <w:pPr>
        <w:jc w:val="both"/>
      </w:pPr>
      <w:r w:rsidRPr="00EA0ED5">
        <w:tab/>
      </w:r>
    </w:p>
    <w:p w:rsidR="005D42D2" w:rsidRDefault="005D42D2" w:rsidP="005D42D2">
      <w:pPr>
        <w:pStyle w:val="Mjodstavec"/>
      </w:pPr>
      <w:r w:rsidRPr="00EA0ED5">
        <w:t xml:space="preserve">Kontrolní činnost byla zaměřena na prověření dodržování povinností stanovených předpisy o požární ochraně ve stanoveném rozsahu u jednotlivých právních subjektů. </w:t>
      </w:r>
    </w:p>
    <w:p w:rsidR="005D42D2" w:rsidRPr="00EA0ED5" w:rsidRDefault="005D42D2" w:rsidP="005D42D2">
      <w:pPr>
        <w:pStyle w:val="Mjodstavec"/>
      </w:pPr>
      <w:r w:rsidRPr="00EA0ED5">
        <w:t>Tematické požární kontroly byly v roce 201</w:t>
      </w:r>
      <w:r>
        <w:t>8</w:t>
      </w:r>
      <w:r w:rsidRPr="00EA0ED5">
        <w:t xml:space="preserve"> zaměřeny na </w:t>
      </w:r>
      <w:r>
        <w:t>internáty a ubytovny studentů, bývalé velké průmyslové areály, kde působí v současné době více subjektů, kulturní památky,</w:t>
      </w:r>
      <w:r w:rsidR="00CE3990">
        <w:t xml:space="preserve"> subjekty provozující elektrickou požární signalizaci a zařízení dálkového přenosu</w:t>
      </w:r>
      <w:r>
        <w:t xml:space="preserve">, které jsou napojeny na </w:t>
      </w:r>
      <w:r w:rsidR="007C4B5A">
        <w:t>pult centralizované oc</w:t>
      </w:r>
      <w:r w:rsidR="00CE3990">
        <w:t>hrany</w:t>
      </w:r>
      <w:r>
        <w:t>, subjekty, které zpracovávají dokumentaci zdolávání požáru, zemědělské subjekty. Dále byly plněny mimořádné kontrolní úkoly zaměřené na shromažďovací prostory a HAD (hazard, alkohol, děti). V</w:t>
      </w:r>
      <w:r w:rsidRPr="00EA0ED5">
        <w:t xml:space="preserve"> rámci kontrol obcí dle § 33 zákona č. 240/2000 Sb., o krizovém řízení v platném znění provedeny ÚPK, kdy bylo prověřeno vedení dokumentace </w:t>
      </w:r>
      <w:r w:rsidR="007C4B5A">
        <w:t>požární ochrany</w:t>
      </w:r>
      <w:r w:rsidRPr="00EA0ED5">
        <w:t xml:space="preserve"> obcí zpracované v souladu s NV č. 172/2</w:t>
      </w:r>
      <w:r w:rsidR="007C4B5A">
        <w:t>001 Sb., k provedení zákona o požární ochraně</w:t>
      </w:r>
      <w:r w:rsidRPr="00EA0ED5">
        <w:t>.</w:t>
      </w:r>
    </w:p>
    <w:p w:rsidR="005D42D2" w:rsidRPr="00EA0ED5" w:rsidRDefault="005D42D2" w:rsidP="005D42D2">
      <w:pPr>
        <w:pStyle w:val="Zhlav"/>
        <w:ind w:left="284" w:firstLine="539"/>
        <w:jc w:val="both"/>
        <w:rPr>
          <w:szCs w:val="24"/>
        </w:rPr>
      </w:pPr>
    </w:p>
    <w:p w:rsidR="005D42D2" w:rsidRPr="00EA0ED5" w:rsidRDefault="005D42D2" w:rsidP="005D42D2">
      <w:pPr>
        <w:ind w:firstLine="284"/>
        <w:jc w:val="both"/>
        <w:rPr>
          <w:b/>
          <w:i/>
          <w:iCs/>
        </w:rPr>
      </w:pPr>
      <w:r w:rsidRPr="00EA0ED5">
        <w:rPr>
          <w:b/>
          <w:i/>
          <w:iCs/>
        </w:rPr>
        <w:t>Vyhodnocení kontrolní činnosti:</w:t>
      </w:r>
    </w:p>
    <w:p w:rsidR="005D42D2" w:rsidRPr="00EA0ED5" w:rsidRDefault="005D42D2" w:rsidP="005D42D2">
      <w:pPr>
        <w:pStyle w:val="Mjodstavec"/>
        <w:rPr>
          <w:strike/>
        </w:rPr>
      </w:pPr>
      <w:r w:rsidRPr="00EA0ED5">
        <w:t xml:space="preserve">V průběhu jednotlivých kontrol byly zjištěny </w:t>
      </w:r>
      <w:r w:rsidR="00114788">
        <w:t>nedostatky</w:t>
      </w:r>
      <w:r w:rsidRPr="00EA0ED5">
        <w:t>, jejichž vyhodnocení je uvedeno v tabulce č. 3 a v níže uvedeném textu.</w:t>
      </w:r>
    </w:p>
    <w:p w:rsidR="005D42D2" w:rsidRPr="00EA0ED5" w:rsidRDefault="005D42D2" w:rsidP="005D42D2">
      <w:pPr>
        <w:jc w:val="both"/>
      </w:pPr>
    </w:p>
    <w:p w:rsidR="005D42D2" w:rsidRPr="00EA0ED5" w:rsidRDefault="005D42D2" w:rsidP="005D42D2">
      <w:pPr>
        <w:jc w:val="both"/>
        <w:rPr>
          <w:b/>
          <w:i/>
        </w:rPr>
      </w:pPr>
      <w:r w:rsidRPr="00EA0ED5">
        <w:rPr>
          <w:b/>
          <w:i/>
        </w:rPr>
        <w:t>Tabulka č. 3: Přehled provedených požárních kontrol bez závad za HZS Jihočeského kraje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2"/>
        <w:gridCol w:w="1531"/>
        <w:gridCol w:w="1587"/>
        <w:gridCol w:w="1569"/>
        <w:gridCol w:w="1514"/>
        <w:gridCol w:w="1657"/>
      </w:tblGrid>
      <w:tr w:rsidR="005D42D2" w:rsidRPr="00EA0ED5" w:rsidTr="00AA199D">
        <w:trPr>
          <w:trHeight w:val="163"/>
          <w:jc w:val="center"/>
        </w:trPr>
        <w:tc>
          <w:tcPr>
            <w:tcW w:w="315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Počet kontrol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Počet kontrol bez závad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Kontroly bez závad [%]</w:t>
            </w:r>
          </w:p>
        </w:tc>
      </w:tr>
      <w:tr w:rsidR="005D42D2" w:rsidRPr="00EA0ED5" w:rsidTr="00AA199D">
        <w:trPr>
          <w:trHeight w:val="204"/>
          <w:jc w:val="center"/>
        </w:trPr>
        <w:tc>
          <w:tcPr>
            <w:tcW w:w="16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KK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  <w:rPr>
                <w:b/>
              </w:rPr>
            </w:pPr>
            <w:r w:rsidRPr="00EA0ED5">
              <w:rPr>
                <w:b/>
              </w:rPr>
              <w:t>TK</w:t>
            </w:r>
          </w:p>
        </w:tc>
      </w:tr>
      <w:tr w:rsidR="005D42D2" w:rsidRPr="00EA0ED5" w:rsidTr="00AA199D">
        <w:trPr>
          <w:trHeight w:val="163"/>
          <w:jc w:val="center"/>
        </w:trPr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446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35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195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46</w:t>
            </w:r>
            <w:r w:rsidRPr="00EA0ED5">
              <w:t>,</w:t>
            </w:r>
            <w:r>
              <w:t>7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5D42D2" w:rsidRPr="00EA0ED5" w:rsidRDefault="005D42D2" w:rsidP="00AA199D">
            <w:pPr>
              <w:pStyle w:val="Seznam2"/>
              <w:spacing w:after="120"/>
              <w:ind w:left="360"/>
              <w:jc w:val="center"/>
            </w:pPr>
            <w:r>
              <w:t>43,7</w:t>
            </w:r>
          </w:p>
        </w:tc>
      </w:tr>
    </w:tbl>
    <w:p w:rsidR="005D42D2" w:rsidRDefault="005D42D2" w:rsidP="005D42D2">
      <w:pPr>
        <w:jc w:val="both"/>
      </w:pPr>
    </w:p>
    <w:p w:rsidR="00114788" w:rsidRDefault="00114788" w:rsidP="005D42D2">
      <w:pPr>
        <w:jc w:val="both"/>
      </w:pPr>
    </w:p>
    <w:p w:rsidR="00114788" w:rsidRDefault="00114788" w:rsidP="005D42D2">
      <w:pPr>
        <w:jc w:val="both"/>
      </w:pPr>
    </w:p>
    <w:p w:rsidR="00114788" w:rsidRPr="00EA0ED5" w:rsidRDefault="00114788" w:rsidP="005D42D2">
      <w:pPr>
        <w:jc w:val="both"/>
      </w:pPr>
    </w:p>
    <w:p w:rsidR="005D42D2" w:rsidRPr="00EA0ED5" w:rsidRDefault="00A83C2A" w:rsidP="005D42D2">
      <w:pPr>
        <w:jc w:val="both"/>
        <w:rPr>
          <w:b/>
          <w:i/>
        </w:rPr>
      </w:pPr>
      <w:r>
        <w:rPr>
          <w:b/>
          <w:i/>
        </w:rPr>
        <w:lastRenderedPageBreak/>
        <w:t>Nejčastěji zjištěné nedostatky</w:t>
      </w:r>
      <w:r w:rsidR="005D42D2" w:rsidRPr="00EA0ED5">
        <w:rPr>
          <w:b/>
          <w:i/>
        </w:rPr>
        <w:t>:</w:t>
      </w:r>
    </w:p>
    <w:p w:rsidR="005D42D2" w:rsidRPr="00EA0ED5" w:rsidRDefault="005D42D2" w:rsidP="005D42D2">
      <w:pPr>
        <w:jc w:val="both"/>
        <w:rPr>
          <w:b/>
          <w:i/>
        </w:rPr>
      </w:pPr>
    </w:p>
    <w:p w:rsidR="005D42D2" w:rsidRPr="00EA0ED5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 xml:space="preserve">v dokumentaci o začlenění provozované činnosti do kategorie podle míry požárního nebezpečí, </w:t>
      </w:r>
    </w:p>
    <w:p w:rsidR="005D42D2" w:rsidRPr="00EA0ED5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>při prokazování provozuschopnosti instalovaných požárně bezpečnostních zařízení včetně vyhrazených,</w:t>
      </w:r>
    </w:p>
    <w:p w:rsidR="005D42D2" w:rsidRPr="00EA0ED5" w:rsidRDefault="005D42D2" w:rsidP="005D42D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při označování pracovišť a dalších míst bezpečnostními značkami,</w:t>
      </w:r>
    </w:p>
    <w:p w:rsidR="005D42D2" w:rsidRPr="00EA0ED5" w:rsidRDefault="005D42D2" w:rsidP="005D42D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nepředložení schválené projektové dokumentace v rozsahu požárně bezpečnostních řešení a vydaných kolaudačních rozhodnutí,</w:t>
      </w:r>
    </w:p>
    <w:p w:rsidR="005D42D2" w:rsidRDefault="005D42D2" w:rsidP="005D42D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 w:rsidRPr="00EA0ED5">
        <w:t>nedostatečné označení únikových východů a směrů úniku osob,</w:t>
      </w:r>
    </w:p>
    <w:p w:rsidR="005D42D2" w:rsidRPr="00EA0ED5" w:rsidRDefault="005D42D2" w:rsidP="005D42D2">
      <w:pPr>
        <w:numPr>
          <w:ilvl w:val="0"/>
          <w:numId w:val="1"/>
        </w:numPr>
        <w:tabs>
          <w:tab w:val="clear" w:pos="567"/>
          <w:tab w:val="num" w:pos="900"/>
        </w:tabs>
        <w:ind w:left="900" w:hanging="540"/>
        <w:jc w:val="both"/>
      </w:pPr>
      <w:r>
        <w:t>neprovozuschopná požárně bezpečnostní zařízení (např. požární uzávěry otvorů),</w:t>
      </w:r>
    </w:p>
    <w:p w:rsidR="005D42D2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 xml:space="preserve">nepředložení dokladů o odstranění závad zjištěných při revizi el. </w:t>
      </w:r>
      <w:proofErr w:type="gramStart"/>
      <w:r w:rsidRPr="00EA0ED5">
        <w:t>zařízení</w:t>
      </w:r>
      <w:proofErr w:type="gramEnd"/>
      <w:r w:rsidRPr="00EA0ED5">
        <w:t xml:space="preserve">, </w:t>
      </w:r>
    </w:p>
    <w:p w:rsidR="005D42D2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>
        <w:t>zastavěné únikové cesty a východy,</w:t>
      </w:r>
    </w:p>
    <w:p w:rsidR="005D42D2" w:rsidRPr="00EA0ED5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>
        <w:t>nepřístupné hlavní uzávěry a vypínače médií,</w:t>
      </w:r>
    </w:p>
    <w:p w:rsidR="005D42D2" w:rsidRPr="00EA0ED5" w:rsidRDefault="005D42D2" w:rsidP="005D42D2">
      <w:pPr>
        <w:pStyle w:val="Zkladntextodsazen"/>
        <w:numPr>
          <w:ilvl w:val="0"/>
          <w:numId w:val="1"/>
        </w:numPr>
        <w:tabs>
          <w:tab w:val="clear" w:pos="567"/>
          <w:tab w:val="num" w:pos="900"/>
        </w:tabs>
        <w:spacing w:after="0"/>
        <w:ind w:left="900" w:hanging="540"/>
        <w:jc w:val="both"/>
      </w:pPr>
      <w:r w:rsidRPr="00EA0ED5">
        <w:t>nedodržení odstupových vzdáleností stohů sena (slámy) od komunikací a o</w:t>
      </w:r>
      <w:r>
        <w:t>bjektů u zemědělských subjektů.</w:t>
      </w:r>
    </w:p>
    <w:p w:rsidR="005D42D2" w:rsidRPr="00EA0ED5" w:rsidRDefault="005D42D2" w:rsidP="005D42D2">
      <w:pPr>
        <w:pStyle w:val="Zkladntextodsazen"/>
        <w:spacing w:after="0"/>
        <w:ind w:left="0"/>
        <w:jc w:val="both"/>
      </w:pPr>
    </w:p>
    <w:p w:rsidR="005D42D2" w:rsidRPr="00EA0ED5" w:rsidRDefault="005D42D2" w:rsidP="005D42D2">
      <w:pPr>
        <w:pStyle w:val="Mjodstavec"/>
      </w:pPr>
      <w:r w:rsidRPr="00EA0ED5">
        <w:t xml:space="preserve">Z hlediska prevence závažných havárií bylo provedeno </w:t>
      </w:r>
      <w:r>
        <w:t>6</w:t>
      </w:r>
      <w:r w:rsidRPr="00EA0ED5">
        <w:t xml:space="preserve"> požárních kontrol právních subjektů zařazených dle zákona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havárií).</w:t>
      </w:r>
    </w:p>
    <w:p w:rsidR="005D42D2" w:rsidRPr="00EA0ED5" w:rsidRDefault="005D42D2" w:rsidP="005D42D2">
      <w:pPr>
        <w:pStyle w:val="Mjodstavec"/>
      </w:pPr>
      <w:r w:rsidRPr="00EA0ED5">
        <w:t>Tyto kontroly byly provedeny ve spolupráci s  Českou inspekcí životního prostředí.  Kontroly vyplývající ze zákona o prevenci závažných havárií byly prováděny v souladu s „Plánem kontrol České inspekce životního prostředí na rok 201</w:t>
      </w:r>
      <w:r>
        <w:t>8</w:t>
      </w:r>
      <w:r w:rsidRPr="00EA0ED5">
        <w:t>“. Při kontrolách na úseku požární ochrany bylo zjištěno, že nejsou dodržovány povinnosti stanovené předpisy o požární ochraně, jako např. obsahové chyby v dokumentaci požární ochrany, nepředložení dokladu provozuschopnosti požárně bezpečnostních zařízení a neoznačení míst příslušnými bezpečnostními značkami, nepředložení schválené projektové dokumentace v rozsahu požárně bezpečnostních řešení a vydaných kolaudačních rozhodnutí, předložení neúplné dokumentace zdolávání požáru, neplnění opatření a lhůt vyplývající  ze schváleného posouzení požárního  nebezpečí.</w:t>
      </w:r>
    </w:p>
    <w:p w:rsidR="005D42D2" w:rsidRDefault="005D42D2" w:rsidP="005D42D2">
      <w:pPr>
        <w:pStyle w:val="Mjodstavec"/>
      </w:pPr>
      <w:r w:rsidRPr="00EA0ED5">
        <w:t>V roce 201</w:t>
      </w:r>
      <w:r>
        <w:t>8</w:t>
      </w:r>
      <w:r w:rsidRPr="00EA0ED5">
        <w:t xml:space="preserve"> se HZS Jihočeského kraje vyjadřoval k dokumentaci posouzení požárního nebezpečí. Celkem byla předložena </w:t>
      </w:r>
      <w:r>
        <w:t>4</w:t>
      </w:r>
      <w:r w:rsidRPr="00EA0ED5">
        <w:t xml:space="preserve"> posouzení požárního nebezpečí, </w:t>
      </w:r>
      <w:r>
        <w:t>u kterých bylo ve dvou případech přerušeno řízení z důvodu doplnění údajů. Následně bylo schváleno posouzení požárního nebezpečí u třech subjektů. U jednoho subjektu bude dokumentace schválena pravděpodobně až v následujícím roce 2019 z důvodu doplnění údajů.</w:t>
      </w:r>
      <w:r w:rsidRPr="00EA0ED5">
        <w:t xml:space="preserve"> </w:t>
      </w:r>
    </w:p>
    <w:p w:rsidR="005D42D2" w:rsidRDefault="005D42D2" w:rsidP="005D42D2">
      <w:pPr>
        <w:pStyle w:val="Mjodstavec"/>
      </w:pPr>
      <w:r>
        <w:t>V roce 2018 se příslušníci v souladu s novou legislativou vyjadřovali k dokumentaci zdolávání požárů celkem pro 141 subjektů, které tuto dokumentaci předložili HZS Jihočeského kraje ke schválení. Tuto novou administrativní činnost si vyžádala poslední legislativní změna zákona o požární ochraně.</w:t>
      </w:r>
    </w:p>
    <w:p w:rsidR="005D42D2" w:rsidRPr="00EA0ED5" w:rsidRDefault="005D42D2" w:rsidP="005D42D2">
      <w:pPr>
        <w:jc w:val="both"/>
        <w:rPr>
          <w:b/>
          <w:i/>
        </w:rPr>
      </w:pPr>
      <w:r w:rsidRPr="00EA0ED5">
        <w:rPr>
          <w:b/>
          <w:i/>
        </w:rPr>
        <w:t xml:space="preserve">Tabulka č. </w:t>
      </w:r>
      <w:r>
        <w:rPr>
          <w:b/>
          <w:i/>
        </w:rPr>
        <w:t>4</w:t>
      </w:r>
      <w:r w:rsidRPr="00EA0ED5">
        <w:rPr>
          <w:b/>
          <w:i/>
        </w:rPr>
        <w:t xml:space="preserve">: Přehled </w:t>
      </w:r>
      <w:r>
        <w:rPr>
          <w:b/>
          <w:i/>
        </w:rPr>
        <w:t>vyjádření k dokumentaci zdolávání požárů</w:t>
      </w:r>
      <w:r w:rsidRPr="00EA0ED5">
        <w:rPr>
          <w:b/>
          <w:i/>
        </w:rPr>
        <w:t xml:space="preserve"> za HZS Jihočeského kraje</w:t>
      </w:r>
    </w:p>
    <w:tbl>
      <w:tblPr>
        <w:tblW w:w="8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765"/>
        <w:gridCol w:w="960"/>
        <w:gridCol w:w="1020"/>
        <w:gridCol w:w="940"/>
        <w:gridCol w:w="1346"/>
      </w:tblGrid>
      <w:tr w:rsidR="005D42D2" w:rsidRPr="00EA0ED5" w:rsidTr="00AA199D">
        <w:trPr>
          <w:cantSplit/>
          <w:trHeight w:val="327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Ředitelství HZS JčK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2"/>
                <w:szCs w:val="22"/>
              </w:rPr>
            </w:pPr>
            <w:r w:rsidRPr="00EA0ED5">
              <w:rPr>
                <w:b/>
                <w:sz w:val="22"/>
                <w:szCs w:val="22"/>
              </w:rPr>
              <w:t>HZS JčK územní odbor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22"/>
              </w:rPr>
            </w:pPr>
            <w:r w:rsidRPr="00EA0ED5">
              <w:rPr>
                <w:b/>
                <w:bCs/>
                <w:sz w:val="22"/>
                <w:szCs w:val="22"/>
              </w:rPr>
              <w:t>Celkem HZS JčK</w:t>
            </w:r>
          </w:p>
        </w:tc>
      </w:tr>
      <w:tr w:rsidR="005D42D2" w:rsidRPr="00EA0ED5" w:rsidTr="00AA199D">
        <w:trPr>
          <w:cantSplit/>
          <w:trHeight w:val="327"/>
          <w:jc w:val="center"/>
        </w:trPr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Český Krumlov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7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sz w:val="20"/>
                <w:szCs w:val="20"/>
              </w:rPr>
            </w:pPr>
            <w:r w:rsidRPr="00EA0ED5">
              <w:rPr>
                <w:b/>
                <w:sz w:val="20"/>
                <w:szCs w:val="20"/>
              </w:rPr>
              <w:t>Tábor</w:t>
            </w:r>
          </w:p>
        </w:tc>
        <w:tc>
          <w:tcPr>
            <w:tcW w:w="13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CCCC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42D2" w:rsidRPr="00EA0ED5" w:rsidTr="00AA199D">
        <w:trPr>
          <w:cantSplit/>
          <w:trHeight w:val="327"/>
          <w:jc w:val="center"/>
        </w:trPr>
        <w:tc>
          <w:tcPr>
            <w:tcW w:w="1134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42D2" w:rsidRPr="00EA0ED5" w:rsidRDefault="005D42D2" w:rsidP="00AA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42D2" w:rsidRPr="00EA0ED5" w:rsidRDefault="005D42D2" w:rsidP="005D42D2">
      <w:pPr>
        <w:pStyle w:val="Mjodstavec"/>
      </w:pPr>
    </w:p>
    <w:p w:rsidR="005D42D2" w:rsidRPr="00EA0ED5" w:rsidRDefault="005D42D2" w:rsidP="005D42D2">
      <w:pPr>
        <w:pStyle w:val="Mjodstavec"/>
      </w:pPr>
      <w:r w:rsidRPr="00EA0ED5">
        <w:lastRenderedPageBreak/>
        <w:t>Dále byly poskytovány odborné konzultace pro občany, právní subjekty a odbornou veřejnost (osoby s odbornou způsobilostí) a byly samostatně nebo ve spolupráci s jinými orgány státní správy řešeny podněty občanů se zaměřením na oblast dodržování povinností stanovených předpisy o požární ochraně.</w:t>
      </w:r>
    </w:p>
    <w:p w:rsidR="005D42D2" w:rsidRPr="00C90AC7" w:rsidRDefault="005D42D2" w:rsidP="005D42D2">
      <w:pPr>
        <w:pStyle w:val="Nadpis3"/>
        <w:spacing w:after="120"/>
        <w:rPr>
          <w:rFonts w:ascii="Times New Roman" w:hAnsi="Times New Roman"/>
          <w:i/>
          <w:iCs/>
          <w:sz w:val="24"/>
        </w:rPr>
      </w:pPr>
      <w:bookmarkStart w:id="3" w:name="_Toc287963463"/>
      <w:bookmarkEnd w:id="2"/>
      <w:r w:rsidRPr="00C90AC7">
        <w:rPr>
          <w:rFonts w:ascii="Times New Roman" w:hAnsi="Times New Roman"/>
          <w:i/>
          <w:iCs/>
          <w:sz w:val="24"/>
        </w:rPr>
        <w:t>Stavební prevence</w:t>
      </w:r>
    </w:p>
    <w:p w:rsidR="005D42D2" w:rsidRPr="00C90AC7" w:rsidRDefault="005D42D2" w:rsidP="00727798">
      <w:pPr>
        <w:pStyle w:val="Mjodstavec"/>
      </w:pPr>
      <w:r w:rsidRPr="00C90AC7">
        <w:t xml:space="preserve">Příslušníci oddělení stavební prevence, kontrolní činnosti a ZPP krajského ředitelství a příslušníci pracovišť prevence, ochrany obyvatelstva a krizového řízení územních odborů HZS Jihočeského kraje se v roce 2018 podstatným způsobem podíleli na výkonu státního požárního dozoru a to zejména posuzováním podkladů pro vydání územního rozhodnutí, projektové dokumentace staveb ke stavebnímu řízení, dokumentace k povolení změny stavby před jejím dokončením, dokumentace k řízení o změně v užívání stavby, apod. V roce 2018 bylo vydáno celkem 5023 stanovisek. </w:t>
      </w:r>
    </w:p>
    <w:p w:rsidR="005D42D2" w:rsidRPr="00C90AC7" w:rsidRDefault="005D42D2" w:rsidP="00727798">
      <w:pPr>
        <w:pStyle w:val="Mjodstavec"/>
      </w:pPr>
      <w:r w:rsidRPr="00C90AC7">
        <w:t xml:space="preserve">Ověřování podmínek uvedených ve stanoviscích bylo prováděno při kolaudačních řízeních, místních šetřeních ve vazbě na vydání kolaudačního souhlasu nebo jiných řízeních v souvislosti s uváděním staveb do provozu, tj. celkem při 1741 jednáních na místě stavby. Při místních šetřeních se příslušníci HZS Jihočeského kraje zúčastnili 43 jednání v rámci stavebních řízení a 453 dalších jednání jiného druhu. </w:t>
      </w:r>
    </w:p>
    <w:p w:rsidR="005D42D2" w:rsidRPr="00C90AC7" w:rsidRDefault="005D42D2" w:rsidP="00727798">
      <w:pPr>
        <w:pStyle w:val="Mjodstavec"/>
      </w:pPr>
      <w:r w:rsidRPr="00C90AC7">
        <w:t xml:space="preserve">Zásadní pozornost byla při výkonu státního požárního dozoru věnována projektovaným nebo dokončovaným stavbám, které slouží ke shromažďování většího počtu osob nebo osob s omezenou schopností pohybu (např. České Budějovice - nákupní centrum IGY I a IGY II, vestavba a rekonstrukce Mariánských kasáren, Vývojové centrum Robert Bosch, novostavby a rekonstrukce objektů v areálu Jihočeské univerzity, koleje VŠTE, rekonstrukce hlavního nádraží v Českých Budějovicích, rekonstrukce stávajících pavilonů Nemocnice České Budějovice a.s., komunitní centrum Chelčice, Senior domy Prachatice, Strážný a Soběslav, rozšíření areálu Vodňanská drůbež, </w:t>
      </w:r>
      <w:proofErr w:type="spellStart"/>
      <w:r w:rsidRPr="00C90AC7">
        <w:t>Alzheimercentrum</w:t>
      </w:r>
      <w:proofErr w:type="spellEnd"/>
      <w:r w:rsidRPr="00C90AC7">
        <w:t xml:space="preserve"> </w:t>
      </w:r>
      <w:proofErr w:type="spellStart"/>
      <w:r w:rsidRPr="00C90AC7">
        <w:t>Loucký</w:t>
      </w:r>
      <w:proofErr w:type="spellEnd"/>
      <w:r w:rsidRPr="00C90AC7">
        <w:t xml:space="preserve"> Mlýn, stacionář pro postižené osoby Lomec, výrobna sýrů Madeta Veselí n. L., obchodní centrum PVN II Tábor</w:t>
      </w:r>
      <w:r w:rsidR="00A83C2A">
        <w:t>)</w:t>
      </w:r>
      <w:r w:rsidRPr="00C90AC7">
        <w:t>.</w:t>
      </w:r>
    </w:p>
    <w:p w:rsidR="005D42D2" w:rsidRPr="00C90AC7" w:rsidRDefault="005D42D2" w:rsidP="00727798">
      <w:pPr>
        <w:pStyle w:val="Mjodstavec"/>
      </w:pPr>
      <w:r w:rsidRPr="00C90AC7">
        <w:t xml:space="preserve">Je možno konstatovat, že se na úseku stavební prevence podařilo bezezbytku </w:t>
      </w:r>
      <w:r w:rsidRPr="00C90AC7">
        <w:br/>
        <w:t xml:space="preserve">a v odpovídajících termínech vyřídit veškeré žádosti k posouzení projektové dokumentace </w:t>
      </w:r>
      <w:r w:rsidRPr="00C90AC7">
        <w:br/>
        <w:t xml:space="preserve">a zajistit odpovídající účast příslušníků HZS Jihočeského kraje na kolaudačních nebo obdobných řízeních. </w:t>
      </w:r>
    </w:p>
    <w:p w:rsidR="005D42D2" w:rsidRPr="00C90AC7" w:rsidRDefault="005D42D2" w:rsidP="00727798">
      <w:pPr>
        <w:pStyle w:val="Mjodstavec"/>
      </w:pPr>
      <w:r w:rsidRPr="00C90AC7">
        <w:t xml:space="preserve">Rovněž byly poskytovány odborné konzultace pro občany a odbornou veřejnost (např. projektanti, investoři) a byly samostatně nebo ve spolupráci s jinými orgány státní správy řešeny podněty občanů se zaměřením na oblast požární bezpečnosti staveb. Dále se příslušníci oddělení </w:t>
      </w:r>
      <w:r w:rsidR="0016440B">
        <w:t xml:space="preserve">a pracovišť </w:t>
      </w:r>
      <w:r w:rsidRPr="00C90AC7">
        <w:t>pravidelně zúčastň</w:t>
      </w:r>
      <w:r w:rsidR="00D07786">
        <w:t>ovali</w:t>
      </w:r>
      <w:r w:rsidRPr="00C90AC7">
        <w:t xml:space="preserve"> jako přednášející </w:t>
      </w:r>
      <w:r w:rsidR="00D07786">
        <w:t>odborných seminářů</w:t>
      </w:r>
      <w:r w:rsidR="0016440B">
        <w:t xml:space="preserve"> (např. ČKAIT)</w:t>
      </w:r>
      <w:r w:rsidRPr="00C90AC7">
        <w:t>, konfere</w:t>
      </w:r>
      <w:r w:rsidR="0016440B">
        <w:t>ncí</w:t>
      </w:r>
      <w:r w:rsidRPr="00C90AC7">
        <w:t xml:space="preserve"> </w:t>
      </w:r>
      <w:r w:rsidR="0016440B">
        <w:t xml:space="preserve">(např. Červený kohout, Požární ochrany) </w:t>
      </w:r>
      <w:r w:rsidRPr="00C90AC7">
        <w:t>a </w:t>
      </w:r>
      <w:r w:rsidR="00D07786">
        <w:t xml:space="preserve">výuky na </w:t>
      </w:r>
      <w:r w:rsidRPr="00C90AC7">
        <w:t>vysokých školách</w:t>
      </w:r>
      <w:r w:rsidR="00D07786">
        <w:t xml:space="preserve"> v rámci Jihočeského kraje</w:t>
      </w:r>
      <w:r w:rsidR="0016440B">
        <w:t xml:space="preserve"> (JČU, VŠERS, VŠTE apod.)</w:t>
      </w:r>
      <w:r w:rsidRPr="00C90AC7">
        <w:t>.</w:t>
      </w:r>
    </w:p>
    <w:p w:rsidR="005D42D2" w:rsidRPr="006A1E0D" w:rsidRDefault="005D42D2" w:rsidP="005D42D2">
      <w:pPr>
        <w:pStyle w:val="Nadpis3"/>
        <w:spacing w:after="120"/>
        <w:rPr>
          <w:rFonts w:ascii="Times New Roman" w:hAnsi="Times New Roman"/>
          <w:iCs/>
          <w:color w:val="000000"/>
          <w:sz w:val="24"/>
        </w:rPr>
      </w:pPr>
      <w:r w:rsidRPr="006A1E0D">
        <w:rPr>
          <w:rFonts w:ascii="Times New Roman" w:hAnsi="Times New Roman"/>
          <w:i/>
          <w:iCs/>
          <w:color w:val="000000"/>
          <w:sz w:val="24"/>
        </w:rPr>
        <w:t>Zjišťování příčin vzniku požárů</w:t>
      </w:r>
    </w:p>
    <w:p w:rsidR="005D42D2" w:rsidRPr="006A1E0D" w:rsidRDefault="00203F39" w:rsidP="005D42D2">
      <w:pPr>
        <w:pStyle w:val="Mjodstavec"/>
        <w:rPr>
          <w:color w:val="000000"/>
        </w:rPr>
      </w:pPr>
      <w:r>
        <w:rPr>
          <w:color w:val="000000"/>
        </w:rPr>
        <w:t xml:space="preserve">Nedílnou součástí výkonu státního požárního dozoru je i zjišťování příčin vzniku požárů. </w:t>
      </w:r>
      <w:r w:rsidR="005D42D2" w:rsidRPr="006A1E0D">
        <w:rPr>
          <w:color w:val="000000"/>
        </w:rPr>
        <w:t xml:space="preserve">Za období od 1. 1. do 31. 12. 2018 bylo na operační středisko HZS Jihočeského kraje nahlášeno celkem </w:t>
      </w:r>
      <w:r w:rsidR="005A7F95">
        <w:rPr>
          <w:color w:val="000000"/>
        </w:rPr>
        <w:t>1097</w:t>
      </w:r>
      <w:r w:rsidR="005D42D2" w:rsidRPr="006A1E0D">
        <w:rPr>
          <w:color w:val="000000"/>
        </w:rPr>
        <w:t xml:space="preserve"> požárů, které způsobily přímou hmotnou škodu ve výši 123.962.000,- Kč.</w:t>
      </w:r>
    </w:p>
    <w:p w:rsidR="005D42D2" w:rsidRPr="006A1E0D" w:rsidRDefault="005D42D2" w:rsidP="005D42D2">
      <w:pPr>
        <w:pStyle w:val="Mjodstavec"/>
        <w:rPr>
          <w:rFonts w:ascii="Calibri" w:hAnsi="Calibri"/>
          <w:color w:val="000000"/>
        </w:rPr>
      </w:pPr>
      <w:r w:rsidRPr="006A1E0D">
        <w:rPr>
          <w:color w:val="000000"/>
        </w:rPr>
        <w:t xml:space="preserve">Nejčastější příčinou vzniku požáru bylo nedbalostní jednání osob (287 požárů). Při těchto požárech byla způsobena přímá škoda ve výši 18.233.900,- Kč. Z celkového počtu </w:t>
      </w:r>
      <w:r w:rsidRPr="006A1E0D">
        <w:rPr>
          <w:color w:val="000000"/>
        </w:rPr>
        <w:lastRenderedPageBreak/>
        <w:t>požárů tyto události představují 25,21% a bylo při nich zraněno 41 osob a usmrceno 6 osob.</w:t>
      </w:r>
    </w:p>
    <w:p w:rsidR="005D42D2" w:rsidRPr="006A1E0D" w:rsidRDefault="005D42D2" w:rsidP="005D42D2">
      <w:pPr>
        <w:pStyle w:val="Mjodstavec"/>
        <w:rPr>
          <w:color w:val="000000"/>
        </w:rPr>
      </w:pPr>
      <w:r w:rsidRPr="006A1E0D">
        <w:rPr>
          <w:color w:val="000000"/>
        </w:rPr>
        <w:t xml:space="preserve">Druhou nejčastější příčinou vzniku požárů byly technické závady (202 požárů). U těchto požárů byla způsobena přímá škoda ve výši 53.887.600,- Kč. Požáry způsobené technickými závadami představují 17,72% z celkového počtu požárů a bylo při nich zraněno 21 osob.  </w:t>
      </w:r>
    </w:p>
    <w:p w:rsidR="005D42D2" w:rsidRPr="006A1E0D" w:rsidRDefault="005D42D2" w:rsidP="005D42D2">
      <w:pPr>
        <w:pStyle w:val="Mjodstavec"/>
        <w:rPr>
          <w:color w:val="000000"/>
        </w:rPr>
      </w:pPr>
      <w:r w:rsidRPr="006A1E0D">
        <w:rPr>
          <w:color w:val="000000"/>
        </w:rPr>
        <w:t xml:space="preserve">Nejvíce požárů bylo evidováno v okrese České Budějovice </w:t>
      </w:r>
      <w:r w:rsidR="002F416D">
        <w:rPr>
          <w:color w:val="000000"/>
        </w:rPr>
        <w:t>a to</w:t>
      </w:r>
      <w:r w:rsidRPr="006A1E0D">
        <w:rPr>
          <w:color w:val="000000"/>
        </w:rPr>
        <w:t xml:space="preserve"> 300, nejméně požárů bylo evidováno v okrese Prachatice </w:t>
      </w:r>
      <w:r w:rsidR="002F416D">
        <w:rPr>
          <w:color w:val="000000"/>
        </w:rPr>
        <w:t>a to</w:t>
      </w:r>
      <w:r w:rsidRPr="006A1E0D">
        <w:rPr>
          <w:color w:val="000000"/>
        </w:rPr>
        <w:t xml:space="preserve"> 91.</w:t>
      </w:r>
    </w:p>
    <w:p w:rsidR="005D42D2" w:rsidRPr="006A1E0D" w:rsidRDefault="005D42D2" w:rsidP="005D42D2">
      <w:pPr>
        <w:pStyle w:val="Mjodstavec"/>
        <w:rPr>
          <w:color w:val="000000"/>
        </w:rPr>
      </w:pPr>
      <w:r w:rsidRPr="006A1E0D">
        <w:rPr>
          <w:color w:val="000000"/>
        </w:rPr>
        <w:t>V roce 2018 zemřelo v Jihočeském kraji při požárech celkem 9 osob, zranění utrpělo 9</w:t>
      </w:r>
      <w:r w:rsidR="00971465">
        <w:rPr>
          <w:color w:val="000000"/>
        </w:rPr>
        <w:t>7</w:t>
      </w:r>
      <w:r w:rsidRPr="006A1E0D">
        <w:rPr>
          <w:color w:val="000000"/>
        </w:rPr>
        <w:t xml:space="preserve"> osob. Včasnými a účinnými zásahy jednotek požární ochrany byl při požárech uchráněn majetek v celkové výši 28</w:t>
      </w:r>
      <w:r w:rsidR="00971465">
        <w:rPr>
          <w:color w:val="000000"/>
        </w:rPr>
        <w:t>5</w:t>
      </w:r>
      <w:r w:rsidRPr="006A1E0D">
        <w:rPr>
          <w:color w:val="000000"/>
        </w:rPr>
        <w:t>.</w:t>
      </w:r>
      <w:r w:rsidR="00BC2594">
        <w:rPr>
          <w:color w:val="000000"/>
        </w:rPr>
        <w:t>964</w:t>
      </w:r>
      <w:r w:rsidRPr="006A1E0D">
        <w:rPr>
          <w:color w:val="000000"/>
        </w:rPr>
        <w:t>.800,- Kč.</w:t>
      </w:r>
    </w:p>
    <w:p w:rsidR="005D42D2" w:rsidRPr="00B84053" w:rsidRDefault="005D42D2" w:rsidP="005D42D2">
      <w:pPr>
        <w:pStyle w:val="Nadpis3"/>
        <w:spacing w:after="120"/>
        <w:rPr>
          <w:rFonts w:ascii="Times New Roman" w:hAnsi="Times New Roman"/>
          <w:i/>
          <w:iCs/>
          <w:sz w:val="24"/>
        </w:rPr>
      </w:pPr>
      <w:r w:rsidRPr="00B84053">
        <w:rPr>
          <w:rFonts w:ascii="Times New Roman" w:hAnsi="Times New Roman"/>
          <w:i/>
          <w:iCs/>
          <w:sz w:val="24"/>
        </w:rPr>
        <w:t>Správní řízení</w:t>
      </w:r>
      <w:bookmarkEnd w:id="3"/>
    </w:p>
    <w:p w:rsidR="005D42D2" w:rsidRPr="00B84053" w:rsidRDefault="005D42D2" w:rsidP="005D42D2">
      <w:pPr>
        <w:pStyle w:val="Mjodstavec"/>
      </w:pPr>
      <w:bookmarkStart w:id="4" w:name="_Toc287963464"/>
      <w:r w:rsidRPr="00B84053">
        <w:t>HZS Jihočeského kraje se zaměřuje zejména na preventivní působení vůči právním subjektům. Z tohoto důvodu řešil HZS Jihočeského kraje společensky méně nebezpečné události, u nichž nedošlo ke zranění osob nebo škodám na majetku v souladu s ustanoveními platné legislativy převážně mírnějšími formami správních trestů.</w:t>
      </w:r>
    </w:p>
    <w:p w:rsidR="005D42D2" w:rsidRPr="00B84053" w:rsidRDefault="005D42D2" w:rsidP="005D42D2">
      <w:pPr>
        <w:pStyle w:val="Mjodstavec"/>
      </w:pPr>
      <w:r w:rsidRPr="00B84053">
        <w:t>Dne 1. 7. 2017 nastala účinnost nových zákonů, týkající se řešení přestupků, jejich definic a řízení o nich. Těmito zákony jsou zákon č. 250/2016 Sb., o odpovědnosti za přestupky a řízení o nich a zákon č. 251/2016 Sb., o některých přestupcích.</w:t>
      </w:r>
      <w:r w:rsidR="00054D67" w:rsidRPr="00B84053">
        <w:t xml:space="preserve"> Změny v souvislosti s těmito novými předpisy se projevily v počtu a evidenci přestupků jak fyzických, tak i podnikajících fyzických a právnických osob </w:t>
      </w:r>
      <w:r w:rsidR="003A299B" w:rsidRPr="00B84053">
        <w:t>až v roce 2018.</w:t>
      </w:r>
    </w:p>
    <w:p w:rsidR="005D42D2" w:rsidRPr="00B84053" w:rsidRDefault="005D42D2" w:rsidP="005D42D2">
      <w:pPr>
        <w:pStyle w:val="Mjodstavec"/>
      </w:pPr>
      <w:r w:rsidRPr="00B84053">
        <w:t xml:space="preserve">Podstatná část přestupků fyzických osob byla řešena na </w:t>
      </w:r>
      <w:r w:rsidR="00E622FC">
        <w:t xml:space="preserve">místě uložením správního trestu příkazem na místě napomenutím a </w:t>
      </w:r>
      <w:r w:rsidRPr="00B84053">
        <w:t>po</w:t>
      </w:r>
      <w:bookmarkStart w:id="5" w:name="_GoBack"/>
      <w:bookmarkEnd w:id="5"/>
      <w:r w:rsidRPr="00B84053">
        <w:t>kut</w:t>
      </w:r>
      <w:r w:rsidR="00E622FC">
        <w:t>ou</w:t>
      </w:r>
      <w:r w:rsidRPr="00B84053">
        <w:t>. Tento způsob vyřízení věci je operativní a velmi účinný. Vyřešení přestupku na místě má, mimo sankčního působení na pachatele přestupku, nemalý vliv i na další osoby jako další součást preventivního působení.</w:t>
      </w:r>
    </w:p>
    <w:p w:rsidR="005D42D2" w:rsidRPr="00B84053" w:rsidRDefault="005D42D2" w:rsidP="005D42D2">
      <w:pPr>
        <w:pStyle w:val="Mjodstavec"/>
      </w:pPr>
      <w:r w:rsidRPr="00B84053">
        <w:t>V roce 201</w:t>
      </w:r>
      <w:r w:rsidR="00025109" w:rsidRPr="00B84053">
        <w:t>8</w:t>
      </w:r>
      <w:r w:rsidRPr="00B84053">
        <w:t xml:space="preserve"> bylo řešeno celkově </w:t>
      </w:r>
      <w:r w:rsidR="00025109" w:rsidRPr="00B84053">
        <w:t>155</w:t>
      </w:r>
      <w:r w:rsidRPr="00B84053">
        <w:t xml:space="preserve"> přestupků fyzických osob, kdy byl</w:t>
      </w:r>
      <w:r w:rsidR="00DE476C">
        <w:t>y uloženy</w:t>
      </w:r>
      <w:r w:rsidRPr="00B84053">
        <w:t xml:space="preserve"> celkově za tyto přestupky pokuty ve výši </w:t>
      </w:r>
      <w:r w:rsidR="00025109" w:rsidRPr="00B84053">
        <w:t>63</w:t>
      </w:r>
      <w:r w:rsidRPr="00B84053">
        <w:t>.</w:t>
      </w:r>
      <w:r w:rsidR="00025109" w:rsidRPr="00B84053">
        <w:t>1</w:t>
      </w:r>
      <w:r w:rsidRPr="00B84053">
        <w:t>00,- Kč.</w:t>
      </w:r>
    </w:p>
    <w:p w:rsidR="005D42D2" w:rsidRPr="00B84053" w:rsidRDefault="005D42D2" w:rsidP="005D42D2">
      <w:pPr>
        <w:pStyle w:val="Mjodstavec"/>
      </w:pPr>
      <w:r w:rsidRPr="00B84053">
        <w:t xml:space="preserve">Přestupků </w:t>
      </w:r>
      <w:r w:rsidR="00A81DDA">
        <w:t>podnikajícíc</w:t>
      </w:r>
      <w:r w:rsidR="00D76DA4">
        <w:t>h</w:t>
      </w:r>
      <w:r w:rsidR="00A81DDA">
        <w:t xml:space="preserve"> fyz</w:t>
      </w:r>
      <w:r w:rsidR="00D76DA4">
        <w:t xml:space="preserve">ických </w:t>
      </w:r>
      <w:r w:rsidR="00A81DDA">
        <w:t xml:space="preserve">osob a </w:t>
      </w:r>
      <w:r w:rsidRPr="00B84053">
        <w:t>právnických osob v roce 201</w:t>
      </w:r>
      <w:r w:rsidR="00025109" w:rsidRPr="00B84053">
        <w:t>8</w:t>
      </w:r>
      <w:r w:rsidRPr="00B84053">
        <w:t xml:space="preserve"> bylo celkově řešeno </w:t>
      </w:r>
      <w:r w:rsidR="00025109" w:rsidRPr="00B84053">
        <w:t>156</w:t>
      </w:r>
      <w:r w:rsidR="00DE476C">
        <w:t>. Uloženy</w:t>
      </w:r>
      <w:r w:rsidR="004351A8" w:rsidRPr="00B84053">
        <w:t xml:space="preserve"> </w:t>
      </w:r>
      <w:r w:rsidR="00DE476C">
        <w:t xml:space="preserve">byly </w:t>
      </w:r>
      <w:r w:rsidR="004351A8" w:rsidRPr="00B84053">
        <w:t xml:space="preserve">celkově příkazem na místě za tyto přestupky </w:t>
      </w:r>
      <w:r w:rsidR="00DE476C">
        <w:t xml:space="preserve">pokuty ve výši </w:t>
      </w:r>
      <w:r w:rsidR="004351A8" w:rsidRPr="00B84053">
        <w:t>208.500,-</w:t>
      </w:r>
      <w:r w:rsidR="00DE476C">
        <w:t xml:space="preserve"> </w:t>
      </w:r>
      <w:r w:rsidR="004351A8" w:rsidRPr="00B84053">
        <w:t>Kč.</w:t>
      </w:r>
      <w:r w:rsidR="00380FDA">
        <w:t xml:space="preserve"> V </w:t>
      </w:r>
      <w:r w:rsidR="00C85528">
        <w:t xml:space="preserve">dalších </w:t>
      </w:r>
      <w:r w:rsidR="00380FDA">
        <w:t>dvou případech byl za přestupek ulože</w:t>
      </w:r>
      <w:r w:rsidR="00D76DA4">
        <w:t xml:space="preserve">n správní trest pokuty </w:t>
      </w:r>
      <w:r w:rsidR="00876B7F" w:rsidRPr="00B84053">
        <w:t>v celkové výši 33.000,-</w:t>
      </w:r>
      <w:r w:rsidR="00DE476C">
        <w:t xml:space="preserve"> </w:t>
      </w:r>
      <w:r w:rsidR="00876B7F" w:rsidRPr="00B84053">
        <w:t>Kč</w:t>
      </w:r>
      <w:r w:rsidR="00DE476C" w:rsidRPr="00DE476C">
        <w:t xml:space="preserve"> </w:t>
      </w:r>
      <w:r w:rsidR="00DE476C">
        <w:t>formou příkazu</w:t>
      </w:r>
      <w:r w:rsidR="00876B7F" w:rsidRPr="00B84053">
        <w:t>.</w:t>
      </w:r>
      <w:r w:rsidRPr="00B84053">
        <w:t xml:space="preserve"> </w:t>
      </w:r>
    </w:p>
    <w:p w:rsidR="005D42D2" w:rsidRPr="00256BC4" w:rsidRDefault="005D42D2" w:rsidP="005D42D2">
      <w:pPr>
        <w:pStyle w:val="Nadpis3"/>
        <w:spacing w:after="120"/>
        <w:rPr>
          <w:rFonts w:ascii="Times New Roman" w:hAnsi="Times New Roman"/>
          <w:i/>
          <w:iCs/>
          <w:sz w:val="24"/>
        </w:rPr>
      </w:pPr>
      <w:r w:rsidRPr="00256BC4">
        <w:rPr>
          <w:rFonts w:ascii="Times New Roman" w:hAnsi="Times New Roman"/>
          <w:i/>
          <w:iCs/>
          <w:sz w:val="24"/>
        </w:rPr>
        <w:t>Další činnosti v oblasti prevence</w:t>
      </w:r>
      <w:bookmarkEnd w:id="4"/>
    </w:p>
    <w:p w:rsidR="005D42D2" w:rsidRPr="00256BC4" w:rsidRDefault="005D42D2" w:rsidP="005D42D2">
      <w:pPr>
        <w:pStyle w:val="Mjodstavec"/>
      </w:pPr>
      <w:r w:rsidRPr="00256BC4">
        <w:t xml:space="preserve">Příslušníci HZS JčK zabývající se stavební prevencí se účastnili připomínkových řízení k technickým normám a metodickým pomůckám pro výkon státního požárního dozoru vydávaných MV - GŘ HZS ČR. </w:t>
      </w:r>
    </w:p>
    <w:p w:rsidR="005D42D2" w:rsidRPr="00256BC4" w:rsidRDefault="005D42D2" w:rsidP="005D42D2">
      <w:pPr>
        <w:pStyle w:val="Mjodstavec"/>
      </w:pPr>
      <w:r w:rsidRPr="00256BC4">
        <w:t>Příslušníci krajského ředitelství HZS Jihočeského kraje jsou zařazeni v pracovních skupinách MV - GŘ HZS ČR, které řeší specifické problematiky stavební prevence, např. požární inženýrství, stavbu tunelů, požární ochranu památkově chráněných objektů a výkon státního požárního dozoru.</w:t>
      </w:r>
    </w:p>
    <w:p w:rsidR="00106882" w:rsidRPr="00256BC4" w:rsidRDefault="005D42D2" w:rsidP="005D42D2">
      <w:pPr>
        <w:pStyle w:val="Mjodstavec"/>
      </w:pPr>
      <w:r w:rsidRPr="00256BC4">
        <w:t>V roce 201</w:t>
      </w:r>
      <w:r w:rsidR="001C5069" w:rsidRPr="00256BC4">
        <w:t>8</w:t>
      </w:r>
      <w:r w:rsidRPr="00256BC4">
        <w:t xml:space="preserve"> </w:t>
      </w:r>
      <w:r w:rsidR="001C5069" w:rsidRPr="00256BC4">
        <w:t xml:space="preserve">byly realizovány kompetence, které přinesla </w:t>
      </w:r>
      <w:r w:rsidRPr="00256BC4">
        <w:t>novelizac</w:t>
      </w:r>
      <w:r w:rsidR="001C5069" w:rsidRPr="00256BC4">
        <w:t>e</w:t>
      </w:r>
      <w:r w:rsidRPr="00256BC4">
        <w:t xml:space="preserve"> zákona č.</w:t>
      </w:r>
      <w:r w:rsidR="001C5069" w:rsidRPr="00256BC4">
        <w:t> </w:t>
      </w:r>
      <w:r w:rsidRPr="00256BC4">
        <w:t xml:space="preserve">133/1985 Sb., o požární ochraně. Tento zákon byl novelizován zákonem č. 225/2017 Sb., kterým se mění zákon č. 183/2006 Sb., o územním plánování a stavebním řádu (stavební zákon), ve znění pozdějších předpisů, a další související zákony. Změna tohoto </w:t>
      </w:r>
      <w:r w:rsidRPr="00256BC4">
        <w:lastRenderedPageBreak/>
        <w:t>zákona přinesla velké změny související s výkonem státního požárního dozoru, převážně stavební prevence.</w:t>
      </w:r>
    </w:p>
    <w:p w:rsidR="005D42D2" w:rsidRPr="00256BC4" w:rsidRDefault="00106882" w:rsidP="005D42D2">
      <w:pPr>
        <w:pStyle w:val="Mjodstavec"/>
      </w:pPr>
      <w:r w:rsidRPr="00256BC4">
        <w:t>Dále byl ke konci roku 2018</w:t>
      </w:r>
      <w:r w:rsidR="00C84426" w:rsidRPr="00256BC4">
        <w:t xml:space="preserve"> realizován velmi významný úkol a to přechod na nový software prevence, který slouží k evidenci </w:t>
      </w:r>
      <w:r w:rsidR="004A1BCC" w:rsidRPr="00256BC4">
        <w:t xml:space="preserve">dokumentace </w:t>
      </w:r>
      <w:r w:rsidR="00C84426" w:rsidRPr="00256BC4">
        <w:t xml:space="preserve">stavební </w:t>
      </w:r>
      <w:r w:rsidR="004A1BCC" w:rsidRPr="00256BC4">
        <w:t>prevence</w:t>
      </w:r>
      <w:r w:rsidR="00256BC4" w:rsidRPr="00256BC4">
        <w:t xml:space="preserve"> a kontrolní činnosti.</w:t>
      </w:r>
    </w:p>
    <w:p w:rsidR="00405798" w:rsidRPr="00256BC4" w:rsidRDefault="005D42D2" w:rsidP="00256BC4">
      <w:pPr>
        <w:pStyle w:val="Mjodstavec"/>
      </w:pPr>
      <w:r w:rsidRPr="00256BC4">
        <w:t>Nedílnou součástí výkonu příslušníků bylo i zvyšování jejich kvalifikace a to formou účastí na poradách, školeních, seminářích a vybraných konferencích, zaměřených na problematiku související s výkonem státního požárního dozoru.</w:t>
      </w:r>
    </w:p>
    <w:sectPr w:rsidR="00405798" w:rsidRPr="0025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5B" w:rsidRDefault="001D4F5B" w:rsidP="005D42D2">
      <w:r>
        <w:separator/>
      </w:r>
    </w:p>
  </w:endnote>
  <w:endnote w:type="continuationSeparator" w:id="0">
    <w:p w:rsidR="001D4F5B" w:rsidRDefault="001D4F5B" w:rsidP="005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5B" w:rsidRDefault="001D4F5B" w:rsidP="005D42D2">
      <w:r>
        <w:separator/>
      </w:r>
    </w:p>
  </w:footnote>
  <w:footnote w:type="continuationSeparator" w:id="0">
    <w:p w:rsidR="001D4F5B" w:rsidRDefault="001D4F5B" w:rsidP="005D42D2">
      <w:r>
        <w:continuationSeparator/>
      </w:r>
    </w:p>
  </w:footnote>
  <w:footnote w:id="1">
    <w:p w:rsidR="005D42D2" w:rsidRPr="00767974" w:rsidRDefault="005D42D2" w:rsidP="005D42D2">
      <w:pPr>
        <w:pStyle w:val="Seznam2"/>
        <w:ind w:left="0" w:firstLine="0"/>
        <w:jc w:val="both"/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67974">
        <w:rPr>
          <w:i/>
          <w:sz w:val="20"/>
          <w:szCs w:val="20"/>
        </w:rPr>
        <w:t>Do uvedené statistiky nejsou zahrnuta jednání s veřejností, projektanty, investory, odborně způsobilými osobami, pojišťovnami apod., která se uskutečňovala nad rámec výkonu státního požárního dozoru ve smyslu § 31 zákona o požární ochraně.</w:t>
      </w:r>
    </w:p>
    <w:p w:rsidR="005D42D2" w:rsidRDefault="005D42D2" w:rsidP="005D42D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FDC"/>
    <w:multiLevelType w:val="hybridMultilevel"/>
    <w:tmpl w:val="5F5E21B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7AF74EA"/>
    <w:multiLevelType w:val="hybridMultilevel"/>
    <w:tmpl w:val="08724026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F57A7"/>
    <w:multiLevelType w:val="hybridMultilevel"/>
    <w:tmpl w:val="EC728E0C"/>
    <w:lvl w:ilvl="0" w:tplc="2E46BA7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2"/>
    <w:rsid w:val="0000045A"/>
    <w:rsid w:val="00000808"/>
    <w:rsid w:val="0000140C"/>
    <w:rsid w:val="00001835"/>
    <w:rsid w:val="00001F60"/>
    <w:rsid w:val="00006EF9"/>
    <w:rsid w:val="00006FA6"/>
    <w:rsid w:val="000078CE"/>
    <w:rsid w:val="00007A57"/>
    <w:rsid w:val="00007D25"/>
    <w:rsid w:val="000108F3"/>
    <w:rsid w:val="000125C5"/>
    <w:rsid w:val="00013FA9"/>
    <w:rsid w:val="00014AA3"/>
    <w:rsid w:val="00015107"/>
    <w:rsid w:val="00015EEE"/>
    <w:rsid w:val="000161F2"/>
    <w:rsid w:val="00016DD3"/>
    <w:rsid w:val="000170BB"/>
    <w:rsid w:val="000206B7"/>
    <w:rsid w:val="00023481"/>
    <w:rsid w:val="00024F92"/>
    <w:rsid w:val="00025109"/>
    <w:rsid w:val="00025708"/>
    <w:rsid w:val="00032256"/>
    <w:rsid w:val="0003436D"/>
    <w:rsid w:val="0003536F"/>
    <w:rsid w:val="00035466"/>
    <w:rsid w:val="000355B7"/>
    <w:rsid w:val="00040722"/>
    <w:rsid w:val="000419FE"/>
    <w:rsid w:val="000420D0"/>
    <w:rsid w:val="00047285"/>
    <w:rsid w:val="000502EC"/>
    <w:rsid w:val="00052438"/>
    <w:rsid w:val="00053A46"/>
    <w:rsid w:val="00053BEF"/>
    <w:rsid w:val="00053D08"/>
    <w:rsid w:val="00054ACD"/>
    <w:rsid w:val="00054D67"/>
    <w:rsid w:val="00056BB0"/>
    <w:rsid w:val="0005729C"/>
    <w:rsid w:val="00064EF8"/>
    <w:rsid w:val="0006770C"/>
    <w:rsid w:val="00067961"/>
    <w:rsid w:val="00072A48"/>
    <w:rsid w:val="000736A3"/>
    <w:rsid w:val="00076676"/>
    <w:rsid w:val="0007701F"/>
    <w:rsid w:val="00077ED6"/>
    <w:rsid w:val="00080159"/>
    <w:rsid w:val="0008038A"/>
    <w:rsid w:val="000806CA"/>
    <w:rsid w:val="00080B8C"/>
    <w:rsid w:val="00081554"/>
    <w:rsid w:val="000831B6"/>
    <w:rsid w:val="00083A78"/>
    <w:rsid w:val="00085223"/>
    <w:rsid w:val="00086E57"/>
    <w:rsid w:val="000902D3"/>
    <w:rsid w:val="000915A1"/>
    <w:rsid w:val="0009267E"/>
    <w:rsid w:val="00092D7C"/>
    <w:rsid w:val="00093595"/>
    <w:rsid w:val="00093B9F"/>
    <w:rsid w:val="00094230"/>
    <w:rsid w:val="0009506F"/>
    <w:rsid w:val="000969CA"/>
    <w:rsid w:val="000A0153"/>
    <w:rsid w:val="000A2EAB"/>
    <w:rsid w:val="000A2EEC"/>
    <w:rsid w:val="000A36D3"/>
    <w:rsid w:val="000A6017"/>
    <w:rsid w:val="000A769F"/>
    <w:rsid w:val="000A7DD2"/>
    <w:rsid w:val="000B0C61"/>
    <w:rsid w:val="000B0F8F"/>
    <w:rsid w:val="000B2CAC"/>
    <w:rsid w:val="000B3D63"/>
    <w:rsid w:val="000B3DFE"/>
    <w:rsid w:val="000B4CB7"/>
    <w:rsid w:val="000B4DF8"/>
    <w:rsid w:val="000B5BCC"/>
    <w:rsid w:val="000B7625"/>
    <w:rsid w:val="000B781F"/>
    <w:rsid w:val="000C01A0"/>
    <w:rsid w:val="000C0664"/>
    <w:rsid w:val="000C3CAB"/>
    <w:rsid w:val="000C4549"/>
    <w:rsid w:val="000C4563"/>
    <w:rsid w:val="000C64A6"/>
    <w:rsid w:val="000C6533"/>
    <w:rsid w:val="000C7CBD"/>
    <w:rsid w:val="000D0740"/>
    <w:rsid w:val="000D3293"/>
    <w:rsid w:val="000D4836"/>
    <w:rsid w:val="000D54B4"/>
    <w:rsid w:val="000D5E2C"/>
    <w:rsid w:val="000D7F5D"/>
    <w:rsid w:val="000E1541"/>
    <w:rsid w:val="000E237B"/>
    <w:rsid w:val="000E46B2"/>
    <w:rsid w:val="000E4DDC"/>
    <w:rsid w:val="000E4F1F"/>
    <w:rsid w:val="000E7FDD"/>
    <w:rsid w:val="000F1616"/>
    <w:rsid w:val="000F1F14"/>
    <w:rsid w:val="000F43D7"/>
    <w:rsid w:val="000F6F66"/>
    <w:rsid w:val="000F7F48"/>
    <w:rsid w:val="00100357"/>
    <w:rsid w:val="00106882"/>
    <w:rsid w:val="001070B1"/>
    <w:rsid w:val="00107BF0"/>
    <w:rsid w:val="00111997"/>
    <w:rsid w:val="00111C97"/>
    <w:rsid w:val="00112587"/>
    <w:rsid w:val="00112C28"/>
    <w:rsid w:val="001145D9"/>
    <w:rsid w:val="00114788"/>
    <w:rsid w:val="001177B6"/>
    <w:rsid w:val="001209FD"/>
    <w:rsid w:val="001213E9"/>
    <w:rsid w:val="00121963"/>
    <w:rsid w:val="001221D1"/>
    <w:rsid w:val="001222A7"/>
    <w:rsid w:val="00123BCE"/>
    <w:rsid w:val="001241CD"/>
    <w:rsid w:val="00125DEC"/>
    <w:rsid w:val="00127285"/>
    <w:rsid w:val="001327BE"/>
    <w:rsid w:val="0013345A"/>
    <w:rsid w:val="00134EB3"/>
    <w:rsid w:val="001358EC"/>
    <w:rsid w:val="00135F3D"/>
    <w:rsid w:val="001404AF"/>
    <w:rsid w:val="00142315"/>
    <w:rsid w:val="00142C0D"/>
    <w:rsid w:val="001431CF"/>
    <w:rsid w:val="00144383"/>
    <w:rsid w:val="0014452A"/>
    <w:rsid w:val="00147716"/>
    <w:rsid w:val="00147DCF"/>
    <w:rsid w:val="0015241A"/>
    <w:rsid w:val="0015334A"/>
    <w:rsid w:val="001544E7"/>
    <w:rsid w:val="00154BFF"/>
    <w:rsid w:val="001601DE"/>
    <w:rsid w:val="001606BF"/>
    <w:rsid w:val="00160FCD"/>
    <w:rsid w:val="0016251C"/>
    <w:rsid w:val="00164341"/>
    <w:rsid w:val="0016440B"/>
    <w:rsid w:val="00164AB6"/>
    <w:rsid w:val="00164C47"/>
    <w:rsid w:val="001657BA"/>
    <w:rsid w:val="00167CAF"/>
    <w:rsid w:val="00167DF4"/>
    <w:rsid w:val="00167F3E"/>
    <w:rsid w:val="00170D2B"/>
    <w:rsid w:val="00171441"/>
    <w:rsid w:val="001716F9"/>
    <w:rsid w:val="00172208"/>
    <w:rsid w:val="00172485"/>
    <w:rsid w:val="0017498F"/>
    <w:rsid w:val="00175333"/>
    <w:rsid w:val="0017790A"/>
    <w:rsid w:val="00177EF1"/>
    <w:rsid w:val="00180B55"/>
    <w:rsid w:val="001810B0"/>
    <w:rsid w:val="00182748"/>
    <w:rsid w:val="001828AC"/>
    <w:rsid w:val="00183523"/>
    <w:rsid w:val="0018385E"/>
    <w:rsid w:val="00183C8D"/>
    <w:rsid w:val="001841F3"/>
    <w:rsid w:val="00184238"/>
    <w:rsid w:val="00185925"/>
    <w:rsid w:val="00186104"/>
    <w:rsid w:val="00187959"/>
    <w:rsid w:val="00190708"/>
    <w:rsid w:val="001937E8"/>
    <w:rsid w:val="00194E65"/>
    <w:rsid w:val="001973E2"/>
    <w:rsid w:val="001978EB"/>
    <w:rsid w:val="00197D44"/>
    <w:rsid w:val="001A138C"/>
    <w:rsid w:val="001A32D0"/>
    <w:rsid w:val="001A4FD8"/>
    <w:rsid w:val="001A6791"/>
    <w:rsid w:val="001A72CF"/>
    <w:rsid w:val="001B178A"/>
    <w:rsid w:val="001B186E"/>
    <w:rsid w:val="001B22A5"/>
    <w:rsid w:val="001B38E8"/>
    <w:rsid w:val="001B3D29"/>
    <w:rsid w:val="001C0458"/>
    <w:rsid w:val="001C07A5"/>
    <w:rsid w:val="001C0ECA"/>
    <w:rsid w:val="001C5069"/>
    <w:rsid w:val="001D0428"/>
    <w:rsid w:val="001D1183"/>
    <w:rsid w:val="001D156D"/>
    <w:rsid w:val="001D2746"/>
    <w:rsid w:val="001D3A65"/>
    <w:rsid w:val="001D4386"/>
    <w:rsid w:val="001D4614"/>
    <w:rsid w:val="001D4EB1"/>
    <w:rsid w:val="001D4F5B"/>
    <w:rsid w:val="001D5CDE"/>
    <w:rsid w:val="001D6092"/>
    <w:rsid w:val="001D7D54"/>
    <w:rsid w:val="001E1CAB"/>
    <w:rsid w:val="001E2C89"/>
    <w:rsid w:val="001E2C8E"/>
    <w:rsid w:val="001E35B4"/>
    <w:rsid w:val="001E3BF7"/>
    <w:rsid w:val="001E412F"/>
    <w:rsid w:val="001E612B"/>
    <w:rsid w:val="001E67A2"/>
    <w:rsid w:val="001E6B38"/>
    <w:rsid w:val="001E7836"/>
    <w:rsid w:val="001E7FCB"/>
    <w:rsid w:val="001E7FE9"/>
    <w:rsid w:val="001F0A01"/>
    <w:rsid w:val="001F33CC"/>
    <w:rsid w:val="001F33DC"/>
    <w:rsid w:val="001F36BF"/>
    <w:rsid w:val="001F66D1"/>
    <w:rsid w:val="001F6B33"/>
    <w:rsid w:val="001F7809"/>
    <w:rsid w:val="00201025"/>
    <w:rsid w:val="0020275C"/>
    <w:rsid w:val="00202A36"/>
    <w:rsid w:val="00203F39"/>
    <w:rsid w:val="00204095"/>
    <w:rsid w:val="002045C2"/>
    <w:rsid w:val="00206305"/>
    <w:rsid w:val="00206E44"/>
    <w:rsid w:val="002071B2"/>
    <w:rsid w:val="002074AB"/>
    <w:rsid w:val="00210ADF"/>
    <w:rsid w:val="002128FD"/>
    <w:rsid w:val="00212FAC"/>
    <w:rsid w:val="0021470F"/>
    <w:rsid w:val="00214CDC"/>
    <w:rsid w:val="002156AF"/>
    <w:rsid w:val="002160BE"/>
    <w:rsid w:val="0021648A"/>
    <w:rsid w:val="00217401"/>
    <w:rsid w:val="00220898"/>
    <w:rsid w:val="00220E49"/>
    <w:rsid w:val="00222C95"/>
    <w:rsid w:val="0022500C"/>
    <w:rsid w:val="002271E4"/>
    <w:rsid w:val="00230092"/>
    <w:rsid w:val="00231A28"/>
    <w:rsid w:val="00232346"/>
    <w:rsid w:val="00233DF2"/>
    <w:rsid w:val="002353EF"/>
    <w:rsid w:val="002356B6"/>
    <w:rsid w:val="0023715A"/>
    <w:rsid w:val="002413F4"/>
    <w:rsid w:val="00241C3C"/>
    <w:rsid w:val="00241EA1"/>
    <w:rsid w:val="002427DC"/>
    <w:rsid w:val="002437B3"/>
    <w:rsid w:val="0024427A"/>
    <w:rsid w:val="002472B0"/>
    <w:rsid w:val="00250217"/>
    <w:rsid w:val="00252E51"/>
    <w:rsid w:val="00253B5E"/>
    <w:rsid w:val="00254D18"/>
    <w:rsid w:val="0025527C"/>
    <w:rsid w:val="00255B8C"/>
    <w:rsid w:val="00255DC6"/>
    <w:rsid w:val="00256BC4"/>
    <w:rsid w:val="00256C0F"/>
    <w:rsid w:val="002620F7"/>
    <w:rsid w:val="00264A59"/>
    <w:rsid w:val="00265229"/>
    <w:rsid w:val="00271ACA"/>
    <w:rsid w:val="00271E45"/>
    <w:rsid w:val="00273218"/>
    <w:rsid w:val="0027377D"/>
    <w:rsid w:val="00276A95"/>
    <w:rsid w:val="00277BCC"/>
    <w:rsid w:val="0028006A"/>
    <w:rsid w:val="00280B8F"/>
    <w:rsid w:val="002814E6"/>
    <w:rsid w:val="00281742"/>
    <w:rsid w:val="00281904"/>
    <w:rsid w:val="002869A8"/>
    <w:rsid w:val="0028737F"/>
    <w:rsid w:val="00291E81"/>
    <w:rsid w:val="002928EC"/>
    <w:rsid w:val="002930BC"/>
    <w:rsid w:val="0029326D"/>
    <w:rsid w:val="00297052"/>
    <w:rsid w:val="002A0480"/>
    <w:rsid w:val="002A1A9B"/>
    <w:rsid w:val="002A2830"/>
    <w:rsid w:val="002A375F"/>
    <w:rsid w:val="002A3BCE"/>
    <w:rsid w:val="002A3D41"/>
    <w:rsid w:val="002A5048"/>
    <w:rsid w:val="002A5C50"/>
    <w:rsid w:val="002A6FD4"/>
    <w:rsid w:val="002B05A2"/>
    <w:rsid w:val="002B2F11"/>
    <w:rsid w:val="002B3FC4"/>
    <w:rsid w:val="002B45EE"/>
    <w:rsid w:val="002B5429"/>
    <w:rsid w:val="002B7CDA"/>
    <w:rsid w:val="002C0462"/>
    <w:rsid w:val="002C3B20"/>
    <w:rsid w:val="002C4008"/>
    <w:rsid w:val="002C41A1"/>
    <w:rsid w:val="002C6012"/>
    <w:rsid w:val="002C6050"/>
    <w:rsid w:val="002C6459"/>
    <w:rsid w:val="002D349B"/>
    <w:rsid w:val="002D45D4"/>
    <w:rsid w:val="002D475A"/>
    <w:rsid w:val="002D6044"/>
    <w:rsid w:val="002D6792"/>
    <w:rsid w:val="002D6BB5"/>
    <w:rsid w:val="002D6DFB"/>
    <w:rsid w:val="002D7207"/>
    <w:rsid w:val="002E206C"/>
    <w:rsid w:val="002E2647"/>
    <w:rsid w:val="002E4061"/>
    <w:rsid w:val="002E6FE0"/>
    <w:rsid w:val="002E787E"/>
    <w:rsid w:val="002F0627"/>
    <w:rsid w:val="002F1568"/>
    <w:rsid w:val="002F2293"/>
    <w:rsid w:val="002F36C0"/>
    <w:rsid w:val="002F416D"/>
    <w:rsid w:val="002F41C1"/>
    <w:rsid w:val="002F4528"/>
    <w:rsid w:val="002F4533"/>
    <w:rsid w:val="003003E9"/>
    <w:rsid w:val="003005A2"/>
    <w:rsid w:val="0030095D"/>
    <w:rsid w:val="00300E5F"/>
    <w:rsid w:val="00302B17"/>
    <w:rsid w:val="0030552C"/>
    <w:rsid w:val="00305B5C"/>
    <w:rsid w:val="00305EB7"/>
    <w:rsid w:val="00306057"/>
    <w:rsid w:val="003101BC"/>
    <w:rsid w:val="003115DA"/>
    <w:rsid w:val="0031176F"/>
    <w:rsid w:val="0031368A"/>
    <w:rsid w:val="003201CC"/>
    <w:rsid w:val="0032044B"/>
    <w:rsid w:val="003209CD"/>
    <w:rsid w:val="00320C03"/>
    <w:rsid w:val="00320E0D"/>
    <w:rsid w:val="003218C1"/>
    <w:rsid w:val="00322592"/>
    <w:rsid w:val="00323B67"/>
    <w:rsid w:val="00327815"/>
    <w:rsid w:val="00330762"/>
    <w:rsid w:val="00334FDD"/>
    <w:rsid w:val="00336B54"/>
    <w:rsid w:val="003411FB"/>
    <w:rsid w:val="00341263"/>
    <w:rsid w:val="00341D46"/>
    <w:rsid w:val="00344786"/>
    <w:rsid w:val="00345B41"/>
    <w:rsid w:val="0035088F"/>
    <w:rsid w:val="00351348"/>
    <w:rsid w:val="003513AE"/>
    <w:rsid w:val="00351594"/>
    <w:rsid w:val="003520E0"/>
    <w:rsid w:val="00352B4E"/>
    <w:rsid w:val="003550CE"/>
    <w:rsid w:val="00355453"/>
    <w:rsid w:val="0035752A"/>
    <w:rsid w:val="00357684"/>
    <w:rsid w:val="003603FA"/>
    <w:rsid w:val="003611EC"/>
    <w:rsid w:val="00361351"/>
    <w:rsid w:val="0036265B"/>
    <w:rsid w:val="003626A5"/>
    <w:rsid w:val="00363C41"/>
    <w:rsid w:val="00364812"/>
    <w:rsid w:val="00364816"/>
    <w:rsid w:val="003651E0"/>
    <w:rsid w:val="0036700A"/>
    <w:rsid w:val="00372C1E"/>
    <w:rsid w:val="0037446C"/>
    <w:rsid w:val="00376193"/>
    <w:rsid w:val="00376445"/>
    <w:rsid w:val="003778AF"/>
    <w:rsid w:val="00377F73"/>
    <w:rsid w:val="00380721"/>
    <w:rsid w:val="00380FDA"/>
    <w:rsid w:val="003824C9"/>
    <w:rsid w:val="00383F9C"/>
    <w:rsid w:val="00384184"/>
    <w:rsid w:val="003849A8"/>
    <w:rsid w:val="0038550A"/>
    <w:rsid w:val="003857C7"/>
    <w:rsid w:val="00386EF5"/>
    <w:rsid w:val="003900AC"/>
    <w:rsid w:val="00390C97"/>
    <w:rsid w:val="00392194"/>
    <w:rsid w:val="00392C26"/>
    <w:rsid w:val="0039307F"/>
    <w:rsid w:val="0039488C"/>
    <w:rsid w:val="003955FE"/>
    <w:rsid w:val="00396CB9"/>
    <w:rsid w:val="00396F12"/>
    <w:rsid w:val="00397910"/>
    <w:rsid w:val="00397CD7"/>
    <w:rsid w:val="003A11A1"/>
    <w:rsid w:val="003A156C"/>
    <w:rsid w:val="003A1C8D"/>
    <w:rsid w:val="003A299B"/>
    <w:rsid w:val="003A2C81"/>
    <w:rsid w:val="003A3132"/>
    <w:rsid w:val="003A40C9"/>
    <w:rsid w:val="003A50BD"/>
    <w:rsid w:val="003A6D83"/>
    <w:rsid w:val="003A7A7E"/>
    <w:rsid w:val="003A7E68"/>
    <w:rsid w:val="003B00AD"/>
    <w:rsid w:val="003B068E"/>
    <w:rsid w:val="003B09AD"/>
    <w:rsid w:val="003B11A1"/>
    <w:rsid w:val="003B136D"/>
    <w:rsid w:val="003B1B4C"/>
    <w:rsid w:val="003B278D"/>
    <w:rsid w:val="003B5228"/>
    <w:rsid w:val="003B721F"/>
    <w:rsid w:val="003C086B"/>
    <w:rsid w:val="003C0E77"/>
    <w:rsid w:val="003C1865"/>
    <w:rsid w:val="003C20B8"/>
    <w:rsid w:val="003C3C8F"/>
    <w:rsid w:val="003C4AF3"/>
    <w:rsid w:val="003C4E62"/>
    <w:rsid w:val="003C504C"/>
    <w:rsid w:val="003C564E"/>
    <w:rsid w:val="003C70CC"/>
    <w:rsid w:val="003C7189"/>
    <w:rsid w:val="003C7926"/>
    <w:rsid w:val="003C7EE9"/>
    <w:rsid w:val="003D0CBA"/>
    <w:rsid w:val="003D196E"/>
    <w:rsid w:val="003D1FA9"/>
    <w:rsid w:val="003D2BAC"/>
    <w:rsid w:val="003D34D7"/>
    <w:rsid w:val="003D4A06"/>
    <w:rsid w:val="003D693F"/>
    <w:rsid w:val="003E06EF"/>
    <w:rsid w:val="003E071D"/>
    <w:rsid w:val="003E0EA9"/>
    <w:rsid w:val="003E0F07"/>
    <w:rsid w:val="003E1322"/>
    <w:rsid w:val="003E1442"/>
    <w:rsid w:val="003E395E"/>
    <w:rsid w:val="003E3D5F"/>
    <w:rsid w:val="003F0860"/>
    <w:rsid w:val="003F15AC"/>
    <w:rsid w:val="003F6293"/>
    <w:rsid w:val="003F681E"/>
    <w:rsid w:val="003F6A62"/>
    <w:rsid w:val="003F6AAB"/>
    <w:rsid w:val="003F73B2"/>
    <w:rsid w:val="00400577"/>
    <w:rsid w:val="004010B0"/>
    <w:rsid w:val="0040180D"/>
    <w:rsid w:val="00401C98"/>
    <w:rsid w:val="00402041"/>
    <w:rsid w:val="0040322A"/>
    <w:rsid w:val="00404E13"/>
    <w:rsid w:val="00405798"/>
    <w:rsid w:val="00405CA5"/>
    <w:rsid w:val="00411345"/>
    <w:rsid w:val="00412A57"/>
    <w:rsid w:val="00412CA4"/>
    <w:rsid w:val="00414D2F"/>
    <w:rsid w:val="00416736"/>
    <w:rsid w:val="00421430"/>
    <w:rsid w:val="00421799"/>
    <w:rsid w:val="00422537"/>
    <w:rsid w:val="004237B0"/>
    <w:rsid w:val="00423FCA"/>
    <w:rsid w:val="004257A9"/>
    <w:rsid w:val="004264DF"/>
    <w:rsid w:val="00426A97"/>
    <w:rsid w:val="00427B90"/>
    <w:rsid w:val="00427DDD"/>
    <w:rsid w:val="0043175E"/>
    <w:rsid w:val="00433E34"/>
    <w:rsid w:val="004347F9"/>
    <w:rsid w:val="00434B57"/>
    <w:rsid w:val="004351A8"/>
    <w:rsid w:val="00435A2A"/>
    <w:rsid w:val="004414A7"/>
    <w:rsid w:val="004422EA"/>
    <w:rsid w:val="00444D4B"/>
    <w:rsid w:val="0044599B"/>
    <w:rsid w:val="004461DC"/>
    <w:rsid w:val="00447B34"/>
    <w:rsid w:val="0045008B"/>
    <w:rsid w:val="00452699"/>
    <w:rsid w:val="00452DCD"/>
    <w:rsid w:val="00453643"/>
    <w:rsid w:val="00454C7C"/>
    <w:rsid w:val="00460E82"/>
    <w:rsid w:val="00462B64"/>
    <w:rsid w:val="00463E71"/>
    <w:rsid w:val="0046498C"/>
    <w:rsid w:val="004663C7"/>
    <w:rsid w:val="00470A15"/>
    <w:rsid w:val="00471306"/>
    <w:rsid w:val="0047173A"/>
    <w:rsid w:val="00471988"/>
    <w:rsid w:val="00471F82"/>
    <w:rsid w:val="00473670"/>
    <w:rsid w:val="004739E7"/>
    <w:rsid w:val="00473FDA"/>
    <w:rsid w:val="00474058"/>
    <w:rsid w:val="004745BE"/>
    <w:rsid w:val="00475190"/>
    <w:rsid w:val="00476FF9"/>
    <w:rsid w:val="0047721F"/>
    <w:rsid w:val="00480871"/>
    <w:rsid w:val="00481A02"/>
    <w:rsid w:val="00484FED"/>
    <w:rsid w:val="00485DAF"/>
    <w:rsid w:val="004863A5"/>
    <w:rsid w:val="0048773B"/>
    <w:rsid w:val="004877BB"/>
    <w:rsid w:val="00491166"/>
    <w:rsid w:val="00491341"/>
    <w:rsid w:val="00492717"/>
    <w:rsid w:val="00492E24"/>
    <w:rsid w:val="00492E94"/>
    <w:rsid w:val="0049322C"/>
    <w:rsid w:val="0049544C"/>
    <w:rsid w:val="00496206"/>
    <w:rsid w:val="00496CF7"/>
    <w:rsid w:val="00496DE4"/>
    <w:rsid w:val="00496E0C"/>
    <w:rsid w:val="0049707B"/>
    <w:rsid w:val="00497180"/>
    <w:rsid w:val="004977B3"/>
    <w:rsid w:val="004A06CD"/>
    <w:rsid w:val="004A07A2"/>
    <w:rsid w:val="004A165E"/>
    <w:rsid w:val="004A1BCC"/>
    <w:rsid w:val="004A1F79"/>
    <w:rsid w:val="004A281D"/>
    <w:rsid w:val="004A2A6D"/>
    <w:rsid w:val="004A3254"/>
    <w:rsid w:val="004A5314"/>
    <w:rsid w:val="004A5FCB"/>
    <w:rsid w:val="004B0304"/>
    <w:rsid w:val="004B0E71"/>
    <w:rsid w:val="004B1A75"/>
    <w:rsid w:val="004B1B79"/>
    <w:rsid w:val="004B2438"/>
    <w:rsid w:val="004B5022"/>
    <w:rsid w:val="004B5F0B"/>
    <w:rsid w:val="004B6192"/>
    <w:rsid w:val="004B664C"/>
    <w:rsid w:val="004B6C18"/>
    <w:rsid w:val="004B6FF5"/>
    <w:rsid w:val="004B786F"/>
    <w:rsid w:val="004C0F16"/>
    <w:rsid w:val="004C2AD0"/>
    <w:rsid w:val="004C3651"/>
    <w:rsid w:val="004C4993"/>
    <w:rsid w:val="004C6944"/>
    <w:rsid w:val="004C6C99"/>
    <w:rsid w:val="004C7436"/>
    <w:rsid w:val="004C7B46"/>
    <w:rsid w:val="004D09A3"/>
    <w:rsid w:val="004D1F33"/>
    <w:rsid w:val="004D3A63"/>
    <w:rsid w:val="004D41E6"/>
    <w:rsid w:val="004D50A4"/>
    <w:rsid w:val="004D5517"/>
    <w:rsid w:val="004D5D57"/>
    <w:rsid w:val="004D6C89"/>
    <w:rsid w:val="004D7083"/>
    <w:rsid w:val="004D7313"/>
    <w:rsid w:val="004D7BCC"/>
    <w:rsid w:val="004D7C8C"/>
    <w:rsid w:val="004E1CC7"/>
    <w:rsid w:val="004E1DAE"/>
    <w:rsid w:val="004E2CAC"/>
    <w:rsid w:val="004E2FAA"/>
    <w:rsid w:val="004E36DA"/>
    <w:rsid w:val="004E3ABD"/>
    <w:rsid w:val="004E3CE6"/>
    <w:rsid w:val="004E5FCC"/>
    <w:rsid w:val="004E6338"/>
    <w:rsid w:val="004E68CD"/>
    <w:rsid w:val="004E73AF"/>
    <w:rsid w:val="004E73C8"/>
    <w:rsid w:val="004F09B9"/>
    <w:rsid w:val="004F198E"/>
    <w:rsid w:val="004F1E3C"/>
    <w:rsid w:val="004F23DB"/>
    <w:rsid w:val="004F3FDB"/>
    <w:rsid w:val="004F5C2C"/>
    <w:rsid w:val="004F6B15"/>
    <w:rsid w:val="005003DA"/>
    <w:rsid w:val="00500638"/>
    <w:rsid w:val="00502A67"/>
    <w:rsid w:val="00503D68"/>
    <w:rsid w:val="00503E7B"/>
    <w:rsid w:val="00504A2C"/>
    <w:rsid w:val="00505567"/>
    <w:rsid w:val="00505907"/>
    <w:rsid w:val="005063B7"/>
    <w:rsid w:val="005068AA"/>
    <w:rsid w:val="00506B17"/>
    <w:rsid w:val="0050781D"/>
    <w:rsid w:val="0051057E"/>
    <w:rsid w:val="00510EE8"/>
    <w:rsid w:val="00513A8B"/>
    <w:rsid w:val="00513DCD"/>
    <w:rsid w:val="00514117"/>
    <w:rsid w:val="00514922"/>
    <w:rsid w:val="00521EEB"/>
    <w:rsid w:val="0052315A"/>
    <w:rsid w:val="005234B8"/>
    <w:rsid w:val="00523BD0"/>
    <w:rsid w:val="005267E6"/>
    <w:rsid w:val="00531E75"/>
    <w:rsid w:val="00531EBF"/>
    <w:rsid w:val="00532E5D"/>
    <w:rsid w:val="00533468"/>
    <w:rsid w:val="00534CB1"/>
    <w:rsid w:val="00535BA2"/>
    <w:rsid w:val="005370A8"/>
    <w:rsid w:val="0053773B"/>
    <w:rsid w:val="00537A2D"/>
    <w:rsid w:val="005453D7"/>
    <w:rsid w:val="00547A64"/>
    <w:rsid w:val="00550809"/>
    <w:rsid w:val="005509C8"/>
    <w:rsid w:val="005527B8"/>
    <w:rsid w:val="00553885"/>
    <w:rsid w:val="00555442"/>
    <w:rsid w:val="005565DC"/>
    <w:rsid w:val="00557FA9"/>
    <w:rsid w:val="0056027B"/>
    <w:rsid w:val="00561797"/>
    <w:rsid w:val="00562266"/>
    <w:rsid w:val="00562493"/>
    <w:rsid w:val="0056286A"/>
    <w:rsid w:val="00563032"/>
    <w:rsid w:val="00572296"/>
    <w:rsid w:val="005726AC"/>
    <w:rsid w:val="005729CB"/>
    <w:rsid w:val="00572B5A"/>
    <w:rsid w:val="00572DF0"/>
    <w:rsid w:val="00573620"/>
    <w:rsid w:val="005737C4"/>
    <w:rsid w:val="00573B36"/>
    <w:rsid w:val="005743C9"/>
    <w:rsid w:val="00574EFD"/>
    <w:rsid w:val="00575BC4"/>
    <w:rsid w:val="00576209"/>
    <w:rsid w:val="00580D6E"/>
    <w:rsid w:val="00581471"/>
    <w:rsid w:val="00585B73"/>
    <w:rsid w:val="005874E0"/>
    <w:rsid w:val="00587507"/>
    <w:rsid w:val="00590108"/>
    <w:rsid w:val="005901F4"/>
    <w:rsid w:val="005908A4"/>
    <w:rsid w:val="00590B19"/>
    <w:rsid w:val="0059168C"/>
    <w:rsid w:val="005956F0"/>
    <w:rsid w:val="00595ED5"/>
    <w:rsid w:val="00596277"/>
    <w:rsid w:val="00596A4E"/>
    <w:rsid w:val="00596F06"/>
    <w:rsid w:val="005A037E"/>
    <w:rsid w:val="005A1DBB"/>
    <w:rsid w:val="005A25F9"/>
    <w:rsid w:val="005A353C"/>
    <w:rsid w:val="005A3605"/>
    <w:rsid w:val="005A3EDF"/>
    <w:rsid w:val="005A52DE"/>
    <w:rsid w:val="005A5445"/>
    <w:rsid w:val="005A5B2E"/>
    <w:rsid w:val="005A7F95"/>
    <w:rsid w:val="005B1C45"/>
    <w:rsid w:val="005B1F8D"/>
    <w:rsid w:val="005B3963"/>
    <w:rsid w:val="005B4318"/>
    <w:rsid w:val="005B4703"/>
    <w:rsid w:val="005B5073"/>
    <w:rsid w:val="005B5B86"/>
    <w:rsid w:val="005B5BCE"/>
    <w:rsid w:val="005C04A6"/>
    <w:rsid w:val="005C05A9"/>
    <w:rsid w:val="005C35E5"/>
    <w:rsid w:val="005C3B88"/>
    <w:rsid w:val="005C486A"/>
    <w:rsid w:val="005C5295"/>
    <w:rsid w:val="005C618F"/>
    <w:rsid w:val="005D11D7"/>
    <w:rsid w:val="005D1CE7"/>
    <w:rsid w:val="005D34F9"/>
    <w:rsid w:val="005D42CB"/>
    <w:rsid w:val="005D42D2"/>
    <w:rsid w:val="005D43B6"/>
    <w:rsid w:val="005E00DA"/>
    <w:rsid w:val="005E03D2"/>
    <w:rsid w:val="005E0C93"/>
    <w:rsid w:val="005E1C64"/>
    <w:rsid w:val="005E3C28"/>
    <w:rsid w:val="005E572B"/>
    <w:rsid w:val="005E5B52"/>
    <w:rsid w:val="005E60FD"/>
    <w:rsid w:val="005E6174"/>
    <w:rsid w:val="005E6C3A"/>
    <w:rsid w:val="005E7AD3"/>
    <w:rsid w:val="005F255D"/>
    <w:rsid w:val="005F3819"/>
    <w:rsid w:val="005F390E"/>
    <w:rsid w:val="005F42D1"/>
    <w:rsid w:val="005F4E7B"/>
    <w:rsid w:val="005F4EA2"/>
    <w:rsid w:val="005F5D27"/>
    <w:rsid w:val="005F75C6"/>
    <w:rsid w:val="005F7D0E"/>
    <w:rsid w:val="00600257"/>
    <w:rsid w:val="006002D2"/>
    <w:rsid w:val="00600304"/>
    <w:rsid w:val="006018B5"/>
    <w:rsid w:val="00601AA1"/>
    <w:rsid w:val="00602DBD"/>
    <w:rsid w:val="006040DA"/>
    <w:rsid w:val="0060410F"/>
    <w:rsid w:val="006052BE"/>
    <w:rsid w:val="006104C2"/>
    <w:rsid w:val="00610BEF"/>
    <w:rsid w:val="0061109C"/>
    <w:rsid w:val="006119E5"/>
    <w:rsid w:val="00611C5A"/>
    <w:rsid w:val="00612591"/>
    <w:rsid w:val="006126CB"/>
    <w:rsid w:val="00612C15"/>
    <w:rsid w:val="00613E91"/>
    <w:rsid w:val="00614200"/>
    <w:rsid w:val="00614AF7"/>
    <w:rsid w:val="0061612B"/>
    <w:rsid w:val="00616378"/>
    <w:rsid w:val="006166A3"/>
    <w:rsid w:val="006166CB"/>
    <w:rsid w:val="00616917"/>
    <w:rsid w:val="00616A6E"/>
    <w:rsid w:val="00616BB3"/>
    <w:rsid w:val="00621B73"/>
    <w:rsid w:val="00623140"/>
    <w:rsid w:val="00625DC3"/>
    <w:rsid w:val="00626C5E"/>
    <w:rsid w:val="00627D6D"/>
    <w:rsid w:val="006311B8"/>
    <w:rsid w:val="006333EF"/>
    <w:rsid w:val="00633F6A"/>
    <w:rsid w:val="00634A23"/>
    <w:rsid w:val="00634C0A"/>
    <w:rsid w:val="006400B8"/>
    <w:rsid w:val="00640236"/>
    <w:rsid w:val="00641131"/>
    <w:rsid w:val="0064133F"/>
    <w:rsid w:val="00641C8B"/>
    <w:rsid w:val="00641E01"/>
    <w:rsid w:val="0064227F"/>
    <w:rsid w:val="00642B23"/>
    <w:rsid w:val="006440A5"/>
    <w:rsid w:val="00645AC7"/>
    <w:rsid w:val="00646D66"/>
    <w:rsid w:val="00647B3E"/>
    <w:rsid w:val="00647E9D"/>
    <w:rsid w:val="006507AD"/>
    <w:rsid w:val="006520EF"/>
    <w:rsid w:val="00652CBF"/>
    <w:rsid w:val="00652D3B"/>
    <w:rsid w:val="0065417B"/>
    <w:rsid w:val="00654186"/>
    <w:rsid w:val="00654454"/>
    <w:rsid w:val="006548EE"/>
    <w:rsid w:val="006557AC"/>
    <w:rsid w:val="00657396"/>
    <w:rsid w:val="00657BBA"/>
    <w:rsid w:val="00660126"/>
    <w:rsid w:val="00662B03"/>
    <w:rsid w:val="00662BAA"/>
    <w:rsid w:val="0066385A"/>
    <w:rsid w:val="00663934"/>
    <w:rsid w:val="00664D2A"/>
    <w:rsid w:val="00664E1D"/>
    <w:rsid w:val="006653F4"/>
    <w:rsid w:val="00666E59"/>
    <w:rsid w:val="006678CC"/>
    <w:rsid w:val="00667B7A"/>
    <w:rsid w:val="0067041B"/>
    <w:rsid w:val="00670FDD"/>
    <w:rsid w:val="0067275B"/>
    <w:rsid w:val="006727C3"/>
    <w:rsid w:val="00672B9E"/>
    <w:rsid w:val="00672F09"/>
    <w:rsid w:val="00673443"/>
    <w:rsid w:val="00673B6B"/>
    <w:rsid w:val="006746B4"/>
    <w:rsid w:val="00674B0E"/>
    <w:rsid w:val="00674F46"/>
    <w:rsid w:val="0067730B"/>
    <w:rsid w:val="00677402"/>
    <w:rsid w:val="00680046"/>
    <w:rsid w:val="00680E97"/>
    <w:rsid w:val="00682261"/>
    <w:rsid w:val="00683350"/>
    <w:rsid w:val="0068389D"/>
    <w:rsid w:val="00684B74"/>
    <w:rsid w:val="00687CE3"/>
    <w:rsid w:val="0069162C"/>
    <w:rsid w:val="0069251B"/>
    <w:rsid w:val="00693604"/>
    <w:rsid w:val="0069441C"/>
    <w:rsid w:val="00695DF4"/>
    <w:rsid w:val="00697529"/>
    <w:rsid w:val="00697894"/>
    <w:rsid w:val="006A2634"/>
    <w:rsid w:val="006A3132"/>
    <w:rsid w:val="006A3631"/>
    <w:rsid w:val="006A43BB"/>
    <w:rsid w:val="006A6D5A"/>
    <w:rsid w:val="006B34BF"/>
    <w:rsid w:val="006B3B8D"/>
    <w:rsid w:val="006B61CE"/>
    <w:rsid w:val="006B644B"/>
    <w:rsid w:val="006C0316"/>
    <w:rsid w:val="006C0915"/>
    <w:rsid w:val="006C0BF0"/>
    <w:rsid w:val="006C0F62"/>
    <w:rsid w:val="006C3209"/>
    <w:rsid w:val="006C38E3"/>
    <w:rsid w:val="006C7F3E"/>
    <w:rsid w:val="006D052D"/>
    <w:rsid w:val="006D0564"/>
    <w:rsid w:val="006D0586"/>
    <w:rsid w:val="006D2EA8"/>
    <w:rsid w:val="006D4C6C"/>
    <w:rsid w:val="006D55A7"/>
    <w:rsid w:val="006E0F42"/>
    <w:rsid w:val="006E271C"/>
    <w:rsid w:val="006E409E"/>
    <w:rsid w:val="006E4F67"/>
    <w:rsid w:val="006E5939"/>
    <w:rsid w:val="006E6D1C"/>
    <w:rsid w:val="006F0754"/>
    <w:rsid w:val="006F1E56"/>
    <w:rsid w:val="006F55A6"/>
    <w:rsid w:val="00700155"/>
    <w:rsid w:val="00702A5C"/>
    <w:rsid w:val="00703A2F"/>
    <w:rsid w:val="00704010"/>
    <w:rsid w:val="0070612D"/>
    <w:rsid w:val="007118F4"/>
    <w:rsid w:val="007120F5"/>
    <w:rsid w:val="00712903"/>
    <w:rsid w:val="00713817"/>
    <w:rsid w:val="00714A0D"/>
    <w:rsid w:val="00714BF8"/>
    <w:rsid w:val="0071676C"/>
    <w:rsid w:val="007168CE"/>
    <w:rsid w:val="007168D2"/>
    <w:rsid w:val="00716F3A"/>
    <w:rsid w:val="00720E39"/>
    <w:rsid w:val="00721ED4"/>
    <w:rsid w:val="007223DF"/>
    <w:rsid w:val="0072322D"/>
    <w:rsid w:val="00723794"/>
    <w:rsid w:val="00723E3B"/>
    <w:rsid w:val="00723FCF"/>
    <w:rsid w:val="00727218"/>
    <w:rsid w:val="00727798"/>
    <w:rsid w:val="00730824"/>
    <w:rsid w:val="00730B11"/>
    <w:rsid w:val="00736E45"/>
    <w:rsid w:val="00737C6A"/>
    <w:rsid w:val="0074001B"/>
    <w:rsid w:val="007420CD"/>
    <w:rsid w:val="0074246E"/>
    <w:rsid w:val="00743619"/>
    <w:rsid w:val="00744DE5"/>
    <w:rsid w:val="007462AA"/>
    <w:rsid w:val="00746BF8"/>
    <w:rsid w:val="00747105"/>
    <w:rsid w:val="007473B7"/>
    <w:rsid w:val="0075038B"/>
    <w:rsid w:val="00750C35"/>
    <w:rsid w:val="0075151C"/>
    <w:rsid w:val="00751887"/>
    <w:rsid w:val="00757ABA"/>
    <w:rsid w:val="007613A8"/>
    <w:rsid w:val="007639DB"/>
    <w:rsid w:val="0076421F"/>
    <w:rsid w:val="007646D5"/>
    <w:rsid w:val="00766343"/>
    <w:rsid w:val="007667D0"/>
    <w:rsid w:val="00770968"/>
    <w:rsid w:val="0077103B"/>
    <w:rsid w:val="007738A0"/>
    <w:rsid w:val="007744AF"/>
    <w:rsid w:val="007745CB"/>
    <w:rsid w:val="007751C8"/>
    <w:rsid w:val="007758FC"/>
    <w:rsid w:val="00776A6D"/>
    <w:rsid w:val="007812DD"/>
    <w:rsid w:val="00782686"/>
    <w:rsid w:val="007835DE"/>
    <w:rsid w:val="00783B58"/>
    <w:rsid w:val="00784313"/>
    <w:rsid w:val="007850F8"/>
    <w:rsid w:val="00786203"/>
    <w:rsid w:val="007864EC"/>
    <w:rsid w:val="007874CA"/>
    <w:rsid w:val="0079065B"/>
    <w:rsid w:val="00791D82"/>
    <w:rsid w:val="00791D9F"/>
    <w:rsid w:val="007934E9"/>
    <w:rsid w:val="0079359A"/>
    <w:rsid w:val="00793C29"/>
    <w:rsid w:val="00794868"/>
    <w:rsid w:val="00795586"/>
    <w:rsid w:val="0079578C"/>
    <w:rsid w:val="00796822"/>
    <w:rsid w:val="007972BB"/>
    <w:rsid w:val="00797410"/>
    <w:rsid w:val="007A14D7"/>
    <w:rsid w:val="007A1E89"/>
    <w:rsid w:val="007A2636"/>
    <w:rsid w:val="007A302B"/>
    <w:rsid w:val="007A50DE"/>
    <w:rsid w:val="007A6DC6"/>
    <w:rsid w:val="007A6F6C"/>
    <w:rsid w:val="007A7E06"/>
    <w:rsid w:val="007B2521"/>
    <w:rsid w:val="007B4648"/>
    <w:rsid w:val="007B49F8"/>
    <w:rsid w:val="007B6838"/>
    <w:rsid w:val="007B7A35"/>
    <w:rsid w:val="007B7F20"/>
    <w:rsid w:val="007C0478"/>
    <w:rsid w:val="007C3618"/>
    <w:rsid w:val="007C4557"/>
    <w:rsid w:val="007C4B5A"/>
    <w:rsid w:val="007C4D00"/>
    <w:rsid w:val="007C5E4E"/>
    <w:rsid w:val="007C5F40"/>
    <w:rsid w:val="007C6DE9"/>
    <w:rsid w:val="007D0319"/>
    <w:rsid w:val="007D238D"/>
    <w:rsid w:val="007D320F"/>
    <w:rsid w:val="007D4C42"/>
    <w:rsid w:val="007D708F"/>
    <w:rsid w:val="007D7D00"/>
    <w:rsid w:val="007D7F3F"/>
    <w:rsid w:val="007E0C7E"/>
    <w:rsid w:val="007E25BF"/>
    <w:rsid w:val="007E29DC"/>
    <w:rsid w:val="007E4CA2"/>
    <w:rsid w:val="007E4D00"/>
    <w:rsid w:val="007E4D04"/>
    <w:rsid w:val="007E4F81"/>
    <w:rsid w:val="007E510B"/>
    <w:rsid w:val="007E6B39"/>
    <w:rsid w:val="007F04C8"/>
    <w:rsid w:val="007F686B"/>
    <w:rsid w:val="007F7119"/>
    <w:rsid w:val="0080057A"/>
    <w:rsid w:val="00806F10"/>
    <w:rsid w:val="00806F80"/>
    <w:rsid w:val="00811883"/>
    <w:rsid w:val="00813B2D"/>
    <w:rsid w:val="00814F92"/>
    <w:rsid w:val="00815137"/>
    <w:rsid w:val="0081784C"/>
    <w:rsid w:val="00817F6A"/>
    <w:rsid w:val="00822711"/>
    <w:rsid w:val="00822C0D"/>
    <w:rsid w:val="00822C41"/>
    <w:rsid w:val="00822CE9"/>
    <w:rsid w:val="00823986"/>
    <w:rsid w:val="00823B5D"/>
    <w:rsid w:val="008249A5"/>
    <w:rsid w:val="00824A6F"/>
    <w:rsid w:val="00824FA4"/>
    <w:rsid w:val="00827F6C"/>
    <w:rsid w:val="00830A06"/>
    <w:rsid w:val="00831080"/>
    <w:rsid w:val="00831307"/>
    <w:rsid w:val="00831639"/>
    <w:rsid w:val="00834EB5"/>
    <w:rsid w:val="00835541"/>
    <w:rsid w:val="00836236"/>
    <w:rsid w:val="008401BD"/>
    <w:rsid w:val="00841973"/>
    <w:rsid w:val="008424A0"/>
    <w:rsid w:val="00842D68"/>
    <w:rsid w:val="00842FCB"/>
    <w:rsid w:val="00843053"/>
    <w:rsid w:val="008433F6"/>
    <w:rsid w:val="00843BE2"/>
    <w:rsid w:val="00844DE6"/>
    <w:rsid w:val="00846E76"/>
    <w:rsid w:val="00847313"/>
    <w:rsid w:val="00850D58"/>
    <w:rsid w:val="00852C09"/>
    <w:rsid w:val="00855328"/>
    <w:rsid w:val="00855953"/>
    <w:rsid w:val="00863207"/>
    <w:rsid w:val="008636D7"/>
    <w:rsid w:val="0086495E"/>
    <w:rsid w:val="00865608"/>
    <w:rsid w:val="00867A42"/>
    <w:rsid w:val="00867B9B"/>
    <w:rsid w:val="0087027F"/>
    <w:rsid w:val="00870C73"/>
    <w:rsid w:val="00871412"/>
    <w:rsid w:val="0087146A"/>
    <w:rsid w:val="0087265D"/>
    <w:rsid w:val="008734A8"/>
    <w:rsid w:val="00874486"/>
    <w:rsid w:val="00874848"/>
    <w:rsid w:val="00876B7F"/>
    <w:rsid w:val="00882899"/>
    <w:rsid w:val="00882DEA"/>
    <w:rsid w:val="008839CA"/>
    <w:rsid w:val="00883E01"/>
    <w:rsid w:val="00884B2D"/>
    <w:rsid w:val="00884BC7"/>
    <w:rsid w:val="00884CDE"/>
    <w:rsid w:val="008855EA"/>
    <w:rsid w:val="008865C9"/>
    <w:rsid w:val="00890726"/>
    <w:rsid w:val="00890E60"/>
    <w:rsid w:val="008917B8"/>
    <w:rsid w:val="00891DDA"/>
    <w:rsid w:val="008922BC"/>
    <w:rsid w:val="0089249A"/>
    <w:rsid w:val="00893CE8"/>
    <w:rsid w:val="008949BA"/>
    <w:rsid w:val="00894D9A"/>
    <w:rsid w:val="00895B75"/>
    <w:rsid w:val="008971D9"/>
    <w:rsid w:val="00897820"/>
    <w:rsid w:val="008A01E7"/>
    <w:rsid w:val="008A0A30"/>
    <w:rsid w:val="008A0C96"/>
    <w:rsid w:val="008A2B44"/>
    <w:rsid w:val="008A3CF6"/>
    <w:rsid w:val="008A4F56"/>
    <w:rsid w:val="008A53F9"/>
    <w:rsid w:val="008B0525"/>
    <w:rsid w:val="008B25F8"/>
    <w:rsid w:val="008B2B95"/>
    <w:rsid w:val="008B2E1D"/>
    <w:rsid w:val="008B4CEC"/>
    <w:rsid w:val="008B4D03"/>
    <w:rsid w:val="008B5223"/>
    <w:rsid w:val="008B6728"/>
    <w:rsid w:val="008B6786"/>
    <w:rsid w:val="008C0B80"/>
    <w:rsid w:val="008C1503"/>
    <w:rsid w:val="008C1875"/>
    <w:rsid w:val="008C1D2D"/>
    <w:rsid w:val="008C1D40"/>
    <w:rsid w:val="008C31D3"/>
    <w:rsid w:val="008C3CD9"/>
    <w:rsid w:val="008C4AE3"/>
    <w:rsid w:val="008C5CB4"/>
    <w:rsid w:val="008C60C2"/>
    <w:rsid w:val="008D252C"/>
    <w:rsid w:val="008D38AB"/>
    <w:rsid w:val="008D5BA2"/>
    <w:rsid w:val="008D64B4"/>
    <w:rsid w:val="008D6B4F"/>
    <w:rsid w:val="008D7496"/>
    <w:rsid w:val="008D7D65"/>
    <w:rsid w:val="008E4534"/>
    <w:rsid w:val="008E458A"/>
    <w:rsid w:val="008E48B8"/>
    <w:rsid w:val="008E6384"/>
    <w:rsid w:val="008E6F78"/>
    <w:rsid w:val="008E7342"/>
    <w:rsid w:val="008E7DCC"/>
    <w:rsid w:val="008F1297"/>
    <w:rsid w:val="008F1332"/>
    <w:rsid w:val="008F3347"/>
    <w:rsid w:val="008F4866"/>
    <w:rsid w:val="008F5446"/>
    <w:rsid w:val="00900B92"/>
    <w:rsid w:val="00901D13"/>
    <w:rsid w:val="00903AC2"/>
    <w:rsid w:val="0090440E"/>
    <w:rsid w:val="00904543"/>
    <w:rsid w:val="0090538F"/>
    <w:rsid w:val="009072F9"/>
    <w:rsid w:val="00907EA0"/>
    <w:rsid w:val="00910183"/>
    <w:rsid w:val="00911611"/>
    <w:rsid w:val="00911A7C"/>
    <w:rsid w:val="00911B97"/>
    <w:rsid w:val="00911F22"/>
    <w:rsid w:val="0091584C"/>
    <w:rsid w:val="0091658E"/>
    <w:rsid w:val="00917289"/>
    <w:rsid w:val="009174F2"/>
    <w:rsid w:val="00917ED7"/>
    <w:rsid w:val="00920143"/>
    <w:rsid w:val="00920705"/>
    <w:rsid w:val="009207A4"/>
    <w:rsid w:val="0092247B"/>
    <w:rsid w:val="00923412"/>
    <w:rsid w:val="00923B99"/>
    <w:rsid w:val="0092424F"/>
    <w:rsid w:val="009254F6"/>
    <w:rsid w:val="00926588"/>
    <w:rsid w:val="00927265"/>
    <w:rsid w:val="009315ED"/>
    <w:rsid w:val="00931AE4"/>
    <w:rsid w:val="0093278F"/>
    <w:rsid w:val="00933562"/>
    <w:rsid w:val="0093468A"/>
    <w:rsid w:val="009357D0"/>
    <w:rsid w:val="0093583A"/>
    <w:rsid w:val="00935D6A"/>
    <w:rsid w:val="00936988"/>
    <w:rsid w:val="009369DA"/>
    <w:rsid w:val="00936BEF"/>
    <w:rsid w:val="009376C2"/>
    <w:rsid w:val="00937B1B"/>
    <w:rsid w:val="00940375"/>
    <w:rsid w:val="00940B22"/>
    <w:rsid w:val="0094278A"/>
    <w:rsid w:val="009445B4"/>
    <w:rsid w:val="00944D00"/>
    <w:rsid w:val="009450C0"/>
    <w:rsid w:val="0094565C"/>
    <w:rsid w:val="009470C8"/>
    <w:rsid w:val="009500D6"/>
    <w:rsid w:val="00950A9A"/>
    <w:rsid w:val="00951335"/>
    <w:rsid w:val="00951D4F"/>
    <w:rsid w:val="00953692"/>
    <w:rsid w:val="00953839"/>
    <w:rsid w:val="009538AC"/>
    <w:rsid w:val="00954658"/>
    <w:rsid w:val="00954873"/>
    <w:rsid w:val="009549D6"/>
    <w:rsid w:val="00954B13"/>
    <w:rsid w:val="0095557C"/>
    <w:rsid w:val="00955A93"/>
    <w:rsid w:val="009564CA"/>
    <w:rsid w:val="00957B65"/>
    <w:rsid w:val="00960AD5"/>
    <w:rsid w:val="00961CF9"/>
    <w:rsid w:val="00962330"/>
    <w:rsid w:val="00962791"/>
    <w:rsid w:val="009628CE"/>
    <w:rsid w:val="009643FD"/>
    <w:rsid w:val="00964BC9"/>
    <w:rsid w:val="00967EA8"/>
    <w:rsid w:val="0097072C"/>
    <w:rsid w:val="00970F0E"/>
    <w:rsid w:val="00971465"/>
    <w:rsid w:val="00972107"/>
    <w:rsid w:val="009721B3"/>
    <w:rsid w:val="009733B8"/>
    <w:rsid w:val="009742C4"/>
    <w:rsid w:val="00974425"/>
    <w:rsid w:val="00974781"/>
    <w:rsid w:val="009751A3"/>
    <w:rsid w:val="0097589D"/>
    <w:rsid w:val="009773FB"/>
    <w:rsid w:val="00981999"/>
    <w:rsid w:val="00982505"/>
    <w:rsid w:val="00983204"/>
    <w:rsid w:val="0098769B"/>
    <w:rsid w:val="0099067B"/>
    <w:rsid w:val="00991E7F"/>
    <w:rsid w:val="00992279"/>
    <w:rsid w:val="00993A95"/>
    <w:rsid w:val="00995714"/>
    <w:rsid w:val="009A2971"/>
    <w:rsid w:val="009A2CB9"/>
    <w:rsid w:val="009A5674"/>
    <w:rsid w:val="009A5FD8"/>
    <w:rsid w:val="009B0E7E"/>
    <w:rsid w:val="009B1DC8"/>
    <w:rsid w:val="009B22B8"/>
    <w:rsid w:val="009B27BB"/>
    <w:rsid w:val="009B2E0D"/>
    <w:rsid w:val="009B3D36"/>
    <w:rsid w:val="009B45DE"/>
    <w:rsid w:val="009B4606"/>
    <w:rsid w:val="009B7A8B"/>
    <w:rsid w:val="009C1147"/>
    <w:rsid w:val="009C3425"/>
    <w:rsid w:val="009C49C7"/>
    <w:rsid w:val="009C504A"/>
    <w:rsid w:val="009C76E6"/>
    <w:rsid w:val="009D38F2"/>
    <w:rsid w:val="009D3AE9"/>
    <w:rsid w:val="009E04D6"/>
    <w:rsid w:val="009E0D4B"/>
    <w:rsid w:val="009E1A38"/>
    <w:rsid w:val="009E333C"/>
    <w:rsid w:val="009E38E2"/>
    <w:rsid w:val="009E3B76"/>
    <w:rsid w:val="009E75DA"/>
    <w:rsid w:val="009F3548"/>
    <w:rsid w:val="009F4E75"/>
    <w:rsid w:val="009F563F"/>
    <w:rsid w:val="009F5B6D"/>
    <w:rsid w:val="009F5D5C"/>
    <w:rsid w:val="009F6CD2"/>
    <w:rsid w:val="009F7016"/>
    <w:rsid w:val="00A000D2"/>
    <w:rsid w:val="00A01752"/>
    <w:rsid w:val="00A02ABB"/>
    <w:rsid w:val="00A04EFE"/>
    <w:rsid w:val="00A06A43"/>
    <w:rsid w:val="00A07276"/>
    <w:rsid w:val="00A10681"/>
    <w:rsid w:val="00A12FEB"/>
    <w:rsid w:val="00A132BD"/>
    <w:rsid w:val="00A149DF"/>
    <w:rsid w:val="00A17A0A"/>
    <w:rsid w:val="00A17ED2"/>
    <w:rsid w:val="00A227CF"/>
    <w:rsid w:val="00A227E8"/>
    <w:rsid w:val="00A22D4B"/>
    <w:rsid w:val="00A23446"/>
    <w:rsid w:val="00A24823"/>
    <w:rsid w:val="00A24856"/>
    <w:rsid w:val="00A256F1"/>
    <w:rsid w:val="00A26854"/>
    <w:rsid w:val="00A308FF"/>
    <w:rsid w:val="00A30B00"/>
    <w:rsid w:val="00A30F21"/>
    <w:rsid w:val="00A3245E"/>
    <w:rsid w:val="00A33E7A"/>
    <w:rsid w:val="00A36051"/>
    <w:rsid w:val="00A36172"/>
    <w:rsid w:val="00A37D3E"/>
    <w:rsid w:val="00A42483"/>
    <w:rsid w:val="00A42D4C"/>
    <w:rsid w:val="00A42D5E"/>
    <w:rsid w:val="00A434C9"/>
    <w:rsid w:val="00A437F1"/>
    <w:rsid w:val="00A439C9"/>
    <w:rsid w:val="00A44AEF"/>
    <w:rsid w:val="00A46931"/>
    <w:rsid w:val="00A47704"/>
    <w:rsid w:val="00A479C9"/>
    <w:rsid w:val="00A52719"/>
    <w:rsid w:val="00A53162"/>
    <w:rsid w:val="00A55CDF"/>
    <w:rsid w:val="00A6235A"/>
    <w:rsid w:val="00A62B57"/>
    <w:rsid w:val="00A6467A"/>
    <w:rsid w:val="00A64DD4"/>
    <w:rsid w:val="00A65677"/>
    <w:rsid w:val="00A6580D"/>
    <w:rsid w:val="00A66252"/>
    <w:rsid w:val="00A6682D"/>
    <w:rsid w:val="00A67207"/>
    <w:rsid w:val="00A70266"/>
    <w:rsid w:val="00A703FB"/>
    <w:rsid w:val="00A7086B"/>
    <w:rsid w:val="00A720DE"/>
    <w:rsid w:val="00A72532"/>
    <w:rsid w:val="00A73ADA"/>
    <w:rsid w:val="00A743F5"/>
    <w:rsid w:val="00A7508E"/>
    <w:rsid w:val="00A7772D"/>
    <w:rsid w:val="00A81DDA"/>
    <w:rsid w:val="00A82FF9"/>
    <w:rsid w:val="00A83956"/>
    <w:rsid w:val="00A83C2A"/>
    <w:rsid w:val="00A84D65"/>
    <w:rsid w:val="00A85FAA"/>
    <w:rsid w:val="00A86E1A"/>
    <w:rsid w:val="00A872AD"/>
    <w:rsid w:val="00A87814"/>
    <w:rsid w:val="00A9116E"/>
    <w:rsid w:val="00A9164D"/>
    <w:rsid w:val="00A92ED4"/>
    <w:rsid w:val="00A946D0"/>
    <w:rsid w:val="00A94A61"/>
    <w:rsid w:val="00A95218"/>
    <w:rsid w:val="00A95BE9"/>
    <w:rsid w:val="00A96004"/>
    <w:rsid w:val="00A97B00"/>
    <w:rsid w:val="00A97B2D"/>
    <w:rsid w:val="00AA059E"/>
    <w:rsid w:val="00AA0D6D"/>
    <w:rsid w:val="00AA13C0"/>
    <w:rsid w:val="00AA2D28"/>
    <w:rsid w:val="00AA4796"/>
    <w:rsid w:val="00AA5D6A"/>
    <w:rsid w:val="00AA7970"/>
    <w:rsid w:val="00AA7E34"/>
    <w:rsid w:val="00AB05C2"/>
    <w:rsid w:val="00AB35E8"/>
    <w:rsid w:val="00AB38FA"/>
    <w:rsid w:val="00AB4DA6"/>
    <w:rsid w:val="00AB5157"/>
    <w:rsid w:val="00AB6245"/>
    <w:rsid w:val="00AC0603"/>
    <w:rsid w:val="00AC1674"/>
    <w:rsid w:val="00AC1FBB"/>
    <w:rsid w:val="00AC2B66"/>
    <w:rsid w:val="00AC4CAE"/>
    <w:rsid w:val="00AC65F4"/>
    <w:rsid w:val="00AC695F"/>
    <w:rsid w:val="00AC69F8"/>
    <w:rsid w:val="00AD01A5"/>
    <w:rsid w:val="00AD0AFD"/>
    <w:rsid w:val="00AD0C9F"/>
    <w:rsid w:val="00AD1A78"/>
    <w:rsid w:val="00AD61F5"/>
    <w:rsid w:val="00AD65DD"/>
    <w:rsid w:val="00AD67B9"/>
    <w:rsid w:val="00AE4F26"/>
    <w:rsid w:val="00AE5CE4"/>
    <w:rsid w:val="00AE78C4"/>
    <w:rsid w:val="00AF0445"/>
    <w:rsid w:val="00AF1244"/>
    <w:rsid w:val="00AF35BC"/>
    <w:rsid w:val="00AF5161"/>
    <w:rsid w:val="00AF553C"/>
    <w:rsid w:val="00AF5AE3"/>
    <w:rsid w:val="00AF707A"/>
    <w:rsid w:val="00AF74A1"/>
    <w:rsid w:val="00B007FA"/>
    <w:rsid w:val="00B03943"/>
    <w:rsid w:val="00B045DB"/>
    <w:rsid w:val="00B05C36"/>
    <w:rsid w:val="00B0790D"/>
    <w:rsid w:val="00B11C11"/>
    <w:rsid w:val="00B11D45"/>
    <w:rsid w:val="00B12562"/>
    <w:rsid w:val="00B12A28"/>
    <w:rsid w:val="00B13647"/>
    <w:rsid w:val="00B13AFB"/>
    <w:rsid w:val="00B141A2"/>
    <w:rsid w:val="00B147AC"/>
    <w:rsid w:val="00B17405"/>
    <w:rsid w:val="00B17D3F"/>
    <w:rsid w:val="00B17FBE"/>
    <w:rsid w:val="00B20124"/>
    <w:rsid w:val="00B20172"/>
    <w:rsid w:val="00B2164A"/>
    <w:rsid w:val="00B22623"/>
    <w:rsid w:val="00B253F5"/>
    <w:rsid w:val="00B254ED"/>
    <w:rsid w:val="00B26C3E"/>
    <w:rsid w:val="00B305F0"/>
    <w:rsid w:val="00B30D0F"/>
    <w:rsid w:val="00B30FD1"/>
    <w:rsid w:val="00B31A52"/>
    <w:rsid w:val="00B33ADB"/>
    <w:rsid w:val="00B3420F"/>
    <w:rsid w:val="00B3501C"/>
    <w:rsid w:val="00B3541F"/>
    <w:rsid w:val="00B354D4"/>
    <w:rsid w:val="00B35EEE"/>
    <w:rsid w:val="00B36AAE"/>
    <w:rsid w:val="00B36CC2"/>
    <w:rsid w:val="00B36E70"/>
    <w:rsid w:val="00B40763"/>
    <w:rsid w:val="00B42EEC"/>
    <w:rsid w:val="00B437B0"/>
    <w:rsid w:val="00B43906"/>
    <w:rsid w:val="00B43C90"/>
    <w:rsid w:val="00B43F5C"/>
    <w:rsid w:val="00B44E4B"/>
    <w:rsid w:val="00B45B23"/>
    <w:rsid w:val="00B46DB2"/>
    <w:rsid w:val="00B5018A"/>
    <w:rsid w:val="00B519F1"/>
    <w:rsid w:val="00B51A5E"/>
    <w:rsid w:val="00B52EBB"/>
    <w:rsid w:val="00B56AA8"/>
    <w:rsid w:val="00B60614"/>
    <w:rsid w:val="00B60C6C"/>
    <w:rsid w:val="00B63D12"/>
    <w:rsid w:val="00B66DD6"/>
    <w:rsid w:val="00B6720F"/>
    <w:rsid w:val="00B70728"/>
    <w:rsid w:val="00B725B8"/>
    <w:rsid w:val="00B725FF"/>
    <w:rsid w:val="00B72C9A"/>
    <w:rsid w:val="00B74118"/>
    <w:rsid w:val="00B75385"/>
    <w:rsid w:val="00B75B95"/>
    <w:rsid w:val="00B84053"/>
    <w:rsid w:val="00B84914"/>
    <w:rsid w:val="00B8563F"/>
    <w:rsid w:val="00B864F5"/>
    <w:rsid w:val="00B86FF9"/>
    <w:rsid w:val="00B873D7"/>
    <w:rsid w:val="00B87CFF"/>
    <w:rsid w:val="00B9004D"/>
    <w:rsid w:val="00B902ED"/>
    <w:rsid w:val="00B91694"/>
    <w:rsid w:val="00B92E62"/>
    <w:rsid w:val="00B94439"/>
    <w:rsid w:val="00B948FF"/>
    <w:rsid w:val="00B9509E"/>
    <w:rsid w:val="00B96858"/>
    <w:rsid w:val="00BA0B4D"/>
    <w:rsid w:val="00BA0F69"/>
    <w:rsid w:val="00BA1E38"/>
    <w:rsid w:val="00BA23E0"/>
    <w:rsid w:val="00BA369B"/>
    <w:rsid w:val="00BA5AC5"/>
    <w:rsid w:val="00BB0D0B"/>
    <w:rsid w:val="00BB1BBA"/>
    <w:rsid w:val="00BB29A8"/>
    <w:rsid w:val="00BB327E"/>
    <w:rsid w:val="00BB3FED"/>
    <w:rsid w:val="00BB5458"/>
    <w:rsid w:val="00BB5F93"/>
    <w:rsid w:val="00BC041F"/>
    <w:rsid w:val="00BC0F80"/>
    <w:rsid w:val="00BC1001"/>
    <w:rsid w:val="00BC1074"/>
    <w:rsid w:val="00BC10B3"/>
    <w:rsid w:val="00BC2424"/>
    <w:rsid w:val="00BC2594"/>
    <w:rsid w:val="00BC27F8"/>
    <w:rsid w:val="00BC371D"/>
    <w:rsid w:val="00BC3DC9"/>
    <w:rsid w:val="00BC4E08"/>
    <w:rsid w:val="00BC5791"/>
    <w:rsid w:val="00BC59B4"/>
    <w:rsid w:val="00BC5BF7"/>
    <w:rsid w:val="00BD019F"/>
    <w:rsid w:val="00BD07AD"/>
    <w:rsid w:val="00BD2B36"/>
    <w:rsid w:val="00BD2F02"/>
    <w:rsid w:val="00BD347C"/>
    <w:rsid w:val="00BD6DDC"/>
    <w:rsid w:val="00BD768B"/>
    <w:rsid w:val="00BE152B"/>
    <w:rsid w:val="00BE1CB0"/>
    <w:rsid w:val="00BE2A5A"/>
    <w:rsid w:val="00BE3251"/>
    <w:rsid w:val="00BE6392"/>
    <w:rsid w:val="00BE6B55"/>
    <w:rsid w:val="00BF511B"/>
    <w:rsid w:val="00BF5AE3"/>
    <w:rsid w:val="00BF605B"/>
    <w:rsid w:val="00BF6761"/>
    <w:rsid w:val="00C00862"/>
    <w:rsid w:val="00C013D1"/>
    <w:rsid w:val="00C0258D"/>
    <w:rsid w:val="00C03786"/>
    <w:rsid w:val="00C04097"/>
    <w:rsid w:val="00C045F0"/>
    <w:rsid w:val="00C046B5"/>
    <w:rsid w:val="00C0589D"/>
    <w:rsid w:val="00C05E21"/>
    <w:rsid w:val="00C06301"/>
    <w:rsid w:val="00C07B82"/>
    <w:rsid w:val="00C07FA4"/>
    <w:rsid w:val="00C10550"/>
    <w:rsid w:val="00C1086F"/>
    <w:rsid w:val="00C12074"/>
    <w:rsid w:val="00C127AB"/>
    <w:rsid w:val="00C13F53"/>
    <w:rsid w:val="00C158A7"/>
    <w:rsid w:val="00C17F3C"/>
    <w:rsid w:val="00C2159D"/>
    <w:rsid w:val="00C21947"/>
    <w:rsid w:val="00C21DDB"/>
    <w:rsid w:val="00C2211C"/>
    <w:rsid w:val="00C22F74"/>
    <w:rsid w:val="00C238CE"/>
    <w:rsid w:val="00C24BCD"/>
    <w:rsid w:val="00C255FF"/>
    <w:rsid w:val="00C25895"/>
    <w:rsid w:val="00C26875"/>
    <w:rsid w:val="00C27477"/>
    <w:rsid w:val="00C3092A"/>
    <w:rsid w:val="00C30E19"/>
    <w:rsid w:val="00C3102B"/>
    <w:rsid w:val="00C31747"/>
    <w:rsid w:val="00C3186F"/>
    <w:rsid w:val="00C31A43"/>
    <w:rsid w:val="00C32568"/>
    <w:rsid w:val="00C3348A"/>
    <w:rsid w:val="00C3417A"/>
    <w:rsid w:val="00C34D55"/>
    <w:rsid w:val="00C36148"/>
    <w:rsid w:val="00C363C7"/>
    <w:rsid w:val="00C42845"/>
    <w:rsid w:val="00C43F48"/>
    <w:rsid w:val="00C45683"/>
    <w:rsid w:val="00C45F99"/>
    <w:rsid w:val="00C46421"/>
    <w:rsid w:val="00C474F1"/>
    <w:rsid w:val="00C47680"/>
    <w:rsid w:val="00C47936"/>
    <w:rsid w:val="00C52485"/>
    <w:rsid w:val="00C55521"/>
    <w:rsid w:val="00C55C71"/>
    <w:rsid w:val="00C55E80"/>
    <w:rsid w:val="00C5799C"/>
    <w:rsid w:val="00C57C39"/>
    <w:rsid w:val="00C6126B"/>
    <w:rsid w:val="00C61B93"/>
    <w:rsid w:val="00C62885"/>
    <w:rsid w:val="00C62DCE"/>
    <w:rsid w:val="00C63FBC"/>
    <w:rsid w:val="00C65802"/>
    <w:rsid w:val="00C66692"/>
    <w:rsid w:val="00C71FC6"/>
    <w:rsid w:val="00C74F73"/>
    <w:rsid w:val="00C7738E"/>
    <w:rsid w:val="00C77765"/>
    <w:rsid w:val="00C806F2"/>
    <w:rsid w:val="00C8192E"/>
    <w:rsid w:val="00C81939"/>
    <w:rsid w:val="00C82650"/>
    <w:rsid w:val="00C84426"/>
    <w:rsid w:val="00C84A62"/>
    <w:rsid w:val="00C84C77"/>
    <w:rsid w:val="00C851FE"/>
    <w:rsid w:val="00C85528"/>
    <w:rsid w:val="00C86E5F"/>
    <w:rsid w:val="00C8741A"/>
    <w:rsid w:val="00C90513"/>
    <w:rsid w:val="00C92954"/>
    <w:rsid w:val="00C933ED"/>
    <w:rsid w:val="00C93AAA"/>
    <w:rsid w:val="00C93F6A"/>
    <w:rsid w:val="00C95B8F"/>
    <w:rsid w:val="00C95CC5"/>
    <w:rsid w:val="00CA131B"/>
    <w:rsid w:val="00CA2D4E"/>
    <w:rsid w:val="00CA319B"/>
    <w:rsid w:val="00CA32E4"/>
    <w:rsid w:val="00CA349F"/>
    <w:rsid w:val="00CA3FFB"/>
    <w:rsid w:val="00CA408A"/>
    <w:rsid w:val="00CA4A51"/>
    <w:rsid w:val="00CA5F14"/>
    <w:rsid w:val="00CA60F6"/>
    <w:rsid w:val="00CA6319"/>
    <w:rsid w:val="00CA6BE5"/>
    <w:rsid w:val="00CA735D"/>
    <w:rsid w:val="00CA7DB4"/>
    <w:rsid w:val="00CB0E2E"/>
    <w:rsid w:val="00CB235C"/>
    <w:rsid w:val="00CB237E"/>
    <w:rsid w:val="00CB23E8"/>
    <w:rsid w:val="00CB330B"/>
    <w:rsid w:val="00CB3D8D"/>
    <w:rsid w:val="00CB3F1B"/>
    <w:rsid w:val="00CB52E8"/>
    <w:rsid w:val="00CB6372"/>
    <w:rsid w:val="00CB7352"/>
    <w:rsid w:val="00CC1032"/>
    <w:rsid w:val="00CC1128"/>
    <w:rsid w:val="00CC3C77"/>
    <w:rsid w:val="00CC4A3C"/>
    <w:rsid w:val="00CC5E15"/>
    <w:rsid w:val="00CC6726"/>
    <w:rsid w:val="00CC6E3B"/>
    <w:rsid w:val="00CC70C1"/>
    <w:rsid w:val="00CD0E0B"/>
    <w:rsid w:val="00CD0F1B"/>
    <w:rsid w:val="00CD1A13"/>
    <w:rsid w:val="00CD2C04"/>
    <w:rsid w:val="00CD3A6D"/>
    <w:rsid w:val="00CD430B"/>
    <w:rsid w:val="00CD56AB"/>
    <w:rsid w:val="00CD718C"/>
    <w:rsid w:val="00CD73ED"/>
    <w:rsid w:val="00CE063D"/>
    <w:rsid w:val="00CE23E2"/>
    <w:rsid w:val="00CE2C4A"/>
    <w:rsid w:val="00CE3057"/>
    <w:rsid w:val="00CE3990"/>
    <w:rsid w:val="00CE58A9"/>
    <w:rsid w:val="00CE5973"/>
    <w:rsid w:val="00CE5D49"/>
    <w:rsid w:val="00CE63EC"/>
    <w:rsid w:val="00CE6BF6"/>
    <w:rsid w:val="00CE6F3B"/>
    <w:rsid w:val="00CE7552"/>
    <w:rsid w:val="00CF0458"/>
    <w:rsid w:val="00CF2AA7"/>
    <w:rsid w:val="00CF61CF"/>
    <w:rsid w:val="00CF66D1"/>
    <w:rsid w:val="00CF6C0F"/>
    <w:rsid w:val="00CF6D92"/>
    <w:rsid w:val="00CF7027"/>
    <w:rsid w:val="00D023C0"/>
    <w:rsid w:val="00D02535"/>
    <w:rsid w:val="00D02B4C"/>
    <w:rsid w:val="00D02C9C"/>
    <w:rsid w:val="00D033BD"/>
    <w:rsid w:val="00D0349D"/>
    <w:rsid w:val="00D03666"/>
    <w:rsid w:val="00D04ABF"/>
    <w:rsid w:val="00D06016"/>
    <w:rsid w:val="00D07786"/>
    <w:rsid w:val="00D07B56"/>
    <w:rsid w:val="00D10064"/>
    <w:rsid w:val="00D100B5"/>
    <w:rsid w:val="00D105C2"/>
    <w:rsid w:val="00D111EA"/>
    <w:rsid w:val="00D11AD6"/>
    <w:rsid w:val="00D12E5F"/>
    <w:rsid w:val="00D12F02"/>
    <w:rsid w:val="00D140A0"/>
    <w:rsid w:val="00D145BF"/>
    <w:rsid w:val="00D14CB6"/>
    <w:rsid w:val="00D161BD"/>
    <w:rsid w:val="00D20262"/>
    <w:rsid w:val="00D23655"/>
    <w:rsid w:val="00D23C4A"/>
    <w:rsid w:val="00D2631A"/>
    <w:rsid w:val="00D27CB5"/>
    <w:rsid w:val="00D30280"/>
    <w:rsid w:val="00D30EC6"/>
    <w:rsid w:val="00D316B5"/>
    <w:rsid w:val="00D3237B"/>
    <w:rsid w:val="00D32CF3"/>
    <w:rsid w:val="00D340D0"/>
    <w:rsid w:val="00D34220"/>
    <w:rsid w:val="00D3440C"/>
    <w:rsid w:val="00D356D9"/>
    <w:rsid w:val="00D36481"/>
    <w:rsid w:val="00D36CE8"/>
    <w:rsid w:val="00D372D0"/>
    <w:rsid w:val="00D417A7"/>
    <w:rsid w:val="00D42609"/>
    <w:rsid w:val="00D431BA"/>
    <w:rsid w:val="00D43AFA"/>
    <w:rsid w:val="00D440BF"/>
    <w:rsid w:val="00D44C6A"/>
    <w:rsid w:val="00D44F81"/>
    <w:rsid w:val="00D453A2"/>
    <w:rsid w:val="00D45B00"/>
    <w:rsid w:val="00D47636"/>
    <w:rsid w:val="00D47F3D"/>
    <w:rsid w:val="00D50B53"/>
    <w:rsid w:val="00D53C81"/>
    <w:rsid w:val="00D55C38"/>
    <w:rsid w:val="00D60140"/>
    <w:rsid w:val="00D60432"/>
    <w:rsid w:val="00D60669"/>
    <w:rsid w:val="00D620A2"/>
    <w:rsid w:val="00D6232F"/>
    <w:rsid w:val="00D62776"/>
    <w:rsid w:val="00D63490"/>
    <w:rsid w:val="00D64A79"/>
    <w:rsid w:val="00D64FE7"/>
    <w:rsid w:val="00D6535C"/>
    <w:rsid w:val="00D65A30"/>
    <w:rsid w:val="00D668B5"/>
    <w:rsid w:val="00D70CC0"/>
    <w:rsid w:val="00D7456D"/>
    <w:rsid w:val="00D75479"/>
    <w:rsid w:val="00D76A5C"/>
    <w:rsid w:val="00D76DA4"/>
    <w:rsid w:val="00D77372"/>
    <w:rsid w:val="00D77388"/>
    <w:rsid w:val="00D8180B"/>
    <w:rsid w:val="00D8207E"/>
    <w:rsid w:val="00D859B0"/>
    <w:rsid w:val="00D86627"/>
    <w:rsid w:val="00D87550"/>
    <w:rsid w:val="00D87B07"/>
    <w:rsid w:val="00D90DC6"/>
    <w:rsid w:val="00D93910"/>
    <w:rsid w:val="00D93B71"/>
    <w:rsid w:val="00DA0571"/>
    <w:rsid w:val="00DA1145"/>
    <w:rsid w:val="00DA1727"/>
    <w:rsid w:val="00DA26E3"/>
    <w:rsid w:val="00DA353C"/>
    <w:rsid w:val="00DA43DA"/>
    <w:rsid w:val="00DA477C"/>
    <w:rsid w:val="00DB0FFD"/>
    <w:rsid w:val="00DB1D4A"/>
    <w:rsid w:val="00DB2C27"/>
    <w:rsid w:val="00DB4589"/>
    <w:rsid w:val="00DB7CD4"/>
    <w:rsid w:val="00DC01BC"/>
    <w:rsid w:val="00DC081D"/>
    <w:rsid w:val="00DC1660"/>
    <w:rsid w:val="00DC1FD7"/>
    <w:rsid w:val="00DC25F9"/>
    <w:rsid w:val="00DC26E5"/>
    <w:rsid w:val="00DC2A13"/>
    <w:rsid w:val="00DC2D26"/>
    <w:rsid w:val="00DC2FAA"/>
    <w:rsid w:val="00DC4CD4"/>
    <w:rsid w:val="00DC5F90"/>
    <w:rsid w:val="00DC74B7"/>
    <w:rsid w:val="00DD15AE"/>
    <w:rsid w:val="00DD2790"/>
    <w:rsid w:val="00DD293C"/>
    <w:rsid w:val="00DD2E32"/>
    <w:rsid w:val="00DD3B33"/>
    <w:rsid w:val="00DD4A11"/>
    <w:rsid w:val="00DD61EF"/>
    <w:rsid w:val="00DD66E2"/>
    <w:rsid w:val="00DD6875"/>
    <w:rsid w:val="00DD6A16"/>
    <w:rsid w:val="00DD6B32"/>
    <w:rsid w:val="00DD7952"/>
    <w:rsid w:val="00DE0744"/>
    <w:rsid w:val="00DE1597"/>
    <w:rsid w:val="00DE2D7D"/>
    <w:rsid w:val="00DE476C"/>
    <w:rsid w:val="00DE4B9C"/>
    <w:rsid w:val="00DE52E9"/>
    <w:rsid w:val="00DE5332"/>
    <w:rsid w:val="00DE63FC"/>
    <w:rsid w:val="00DE6C93"/>
    <w:rsid w:val="00DE7AFE"/>
    <w:rsid w:val="00DF053A"/>
    <w:rsid w:val="00DF0FC7"/>
    <w:rsid w:val="00DF1942"/>
    <w:rsid w:val="00DF3628"/>
    <w:rsid w:val="00DF49EB"/>
    <w:rsid w:val="00DF611F"/>
    <w:rsid w:val="00DF6C6A"/>
    <w:rsid w:val="00DF6D5D"/>
    <w:rsid w:val="00DF7C15"/>
    <w:rsid w:val="00E0016B"/>
    <w:rsid w:val="00E02B22"/>
    <w:rsid w:val="00E04602"/>
    <w:rsid w:val="00E0472B"/>
    <w:rsid w:val="00E04FB5"/>
    <w:rsid w:val="00E05540"/>
    <w:rsid w:val="00E055EC"/>
    <w:rsid w:val="00E06431"/>
    <w:rsid w:val="00E0737C"/>
    <w:rsid w:val="00E11097"/>
    <w:rsid w:val="00E11A51"/>
    <w:rsid w:val="00E12C75"/>
    <w:rsid w:val="00E132C1"/>
    <w:rsid w:val="00E134ED"/>
    <w:rsid w:val="00E14187"/>
    <w:rsid w:val="00E14AE0"/>
    <w:rsid w:val="00E16993"/>
    <w:rsid w:val="00E16B16"/>
    <w:rsid w:val="00E17281"/>
    <w:rsid w:val="00E17948"/>
    <w:rsid w:val="00E17E20"/>
    <w:rsid w:val="00E201AE"/>
    <w:rsid w:val="00E20C77"/>
    <w:rsid w:val="00E20F9E"/>
    <w:rsid w:val="00E21708"/>
    <w:rsid w:val="00E21BD1"/>
    <w:rsid w:val="00E21E1A"/>
    <w:rsid w:val="00E22359"/>
    <w:rsid w:val="00E22E8C"/>
    <w:rsid w:val="00E2365A"/>
    <w:rsid w:val="00E24813"/>
    <w:rsid w:val="00E24E82"/>
    <w:rsid w:val="00E24F72"/>
    <w:rsid w:val="00E2537A"/>
    <w:rsid w:val="00E26128"/>
    <w:rsid w:val="00E26A87"/>
    <w:rsid w:val="00E26CF5"/>
    <w:rsid w:val="00E27ADD"/>
    <w:rsid w:val="00E30509"/>
    <w:rsid w:val="00E32CE9"/>
    <w:rsid w:val="00E360E3"/>
    <w:rsid w:val="00E3651C"/>
    <w:rsid w:val="00E36E0F"/>
    <w:rsid w:val="00E414CD"/>
    <w:rsid w:val="00E41737"/>
    <w:rsid w:val="00E41D1E"/>
    <w:rsid w:val="00E42E0C"/>
    <w:rsid w:val="00E439B1"/>
    <w:rsid w:val="00E44EFC"/>
    <w:rsid w:val="00E451C9"/>
    <w:rsid w:val="00E475DC"/>
    <w:rsid w:val="00E516F1"/>
    <w:rsid w:val="00E51AC6"/>
    <w:rsid w:val="00E5358D"/>
    <w:rsid w:val="00E55715"/>
    <w:rsid w:val="00E56509"/>
    <w:rsid w:val="00E56C95"/>
    <w:rsid w:val="00E61221"/>
    <w:rsid w:val="00E622FC"/>
    <w:rsid w:val="00E6334C"/>
    <w:rsid w:val="00E661CE"/>
    <w:rsid w:val="00E66A89"/>
    <w:rsid w:val="00E72D7F"/>
    <w:rsid w:val="00E73388"/>
    <w:rsid w:val="00E747E7"/>
    <w:rsid w:val="00E74AF6"/>
    <w:rsid w:val="00E75C0A"/>
    <w:rsid w:val="00E772EB"/>
    <w:rsid w:val="00E77BE7"/>
    <w:rsid w:val="00E81891"/>
    <w:rsid w:val="00E82BFF"/>
    <w:rsid w:val="00E83875"/>
    <w:rsid w:val="00E83D28"/>
    <w:rsid w:val="00E84E0A"/>
    <w:rsid w:val="00E91C3F"/>
    <w:rsid w:val="00E93BE6"/>
    <w:rsid w:val="00E94419"/>
    <w:rsid w:val="00E94F3F"/>
    <w:rsid w:val="00E94FF7"/>
    <w:rsid w:val="00E95384"/>
    <w:rsid w:val="00E95DF6"/>
    <w:rsid w:val="00E96080"/>
    <w:rsid w:val="00E96DBE"/>
    <w:rsid w:val="00E96FC5"/>
    <w:rsid w:val="00EA193E"/>
    <w:rsid w:val="00EA2140"/>
    <w:rsid w:val="00EA2DD0"/>
    <w:rsid w:val="00EA35A1"/>
    <w:rsid w:val="00EA3A81"/>
    <w:rsid w:val="00EA3D7D"/>
    <w:rsid w:val="00EA5619"/>
    <w:rsid w:val="00EA586D"/>
    <w:rsid w:val="00EA6ABA"/>
    <w:rsid w:val="00EA7B7C"/>
    <w:rsid w:val="00EB0372"/>
    <w:rsid w:val="00EB115C"/>
    <w:rsid w:val="00EB135B"/>
    <w:rsid w:val="00EB1977"/>
    <w:rsid w:val="00EB2171"/>
    <w:rsid w:val="00EB2BDB"/>
    <w:rsid w:val="00EB31CB"/>
    <w:rsid w:val="00EB3581"/>
    <w:rsid w:val="00EB3597"/>
    <w:rsid w:val="00EB44FA"/>
    <w:rsid w:val="00EB5379"/>
    <w:rsid w:val="00EB5882"/>
    <w:rsid w:val="00EB58F8"/>
    <w:rsid w:val="00EB78BB"/>
    <w:rsid w:val="00EB7EE3"/>
    <w:rsid w:val="00EC02B4"/>
    <w:rsid w:val="00EC06CB"/>
    <w:rsid w:val="00EC36A1"/>
    <w:rsid w:val="00EC36A9"/>
    <w:rsid w:val="00EC533F"/>
    <w:rsid w:val="00EC539B"/>
    <w:rsid w:val="00EC57F1"/>
    <w:rsid w:val="00EC622D"/>
    <w:rsid w:val="00ED310C"/>
    <w:rsid w:val="00ED49B2"/>
    <w:rsid w:val="00ED5E5B"/>
    <w:rsid w:val="00ED5E7B"/>
    <w:rsid w:val="00ED66A5"/>
    <w:rsid w:val="00EE0589"/>
    <w:rsid w:val="00EE2524"/>
    <w:rsid w:val="00EE3A2E"/>
    <w:rsid w:val="00EE5A6F"/>
    <w:rsid w:val="00EE6A49"/>
    <w:rsid w:val="00EF0DB5"/>
    <w:rsid w:val="00EF1072"/>
    <w:rsid w:val="00EF4D7F"/>
    <w:rsid w:val="00EF62E6"/>
    <w:rsid w:val="00F007F5"/>
    <w:rsid w:val="00F00978"/>
    <w:rsid w:val="00F020CC"/>
    <w:rsid w:val="00F0437A"/>
    <w:rsid w:val="00F064E6"/>
    <w:rsid w:val="00F077FE"/>
    <w:rsid w:val="00F07F83"/>
    <w:rsid w:val="00F12487"/>
    <w:rsid w:val="00F16EE8"/>
    <w:rsid w:val="00F16FD5"/>
    <w:rsid w:val="00F21C63"/>
    <w:rsid w:val="00F22949"/>
    <w:rsid w:val="00F251C7"/>
    <w:rsid w:val="00F26DCA"/>
    <w:rsid w:val="00F2725E"/>
    <w:rsid w:val="00F27B2E"/>
    <w:rsid w:val="00F30A1B"/>
    <w:rsid w:val="00F30B51"/>
    <w:rsid w:val="00F32B16"/>
    <w:rsid w:val="00F338AA"/>
    <w:rsid w:val="00F35385"/>
    <w:rsid w:val="00F3622E"/>
    <w:rsid w:val="00F36E0A"/>
    <w:rsid w:val="00F36FC5"/>
    <w:rsid w:val="00F37480"/>
    <w:rsid w:val="00F40F09"/>
    <w:rsid w:val="00F42BEC"/>
    <w:rsid w:val="00F43765"/>
    <w:rsid w:val="00F4434D"/>
    <w:rsid w:val="00F44583"/>
    <w:rsid w:val="00F4464D"/>
    <w:rsid w:val="00F44699"/>
    <w:rsid w:val="00F45100"/>
    <w:rsid w:val="00F5024D"/>
    <w:rsid w:val="00F5161E"/>
    <w:rsid w:val="00F542A3"/>
    <w:rsid w:val="00F54330"/>
    <w:rsid w:val="00F54481"/>
    <w:rsid w:val="00F56F64"/>
    <w:rsid w:val="00F61776"/>
    <w:rsid w:val="00F61AF7"/>
    <w:rsid w:val="00F62253"/>
    <w:rsid w:val="00F63442"/>
    <w:rsid w:val="00F65223"/>
    <w:rsid w:val="00F652B6"/>
    <w:rsid w:val="00F67B40"/>
    <w:rsid w:val="00F67D60"/>
    <w:rsid w:val="00F71F4A"/>
    <w:rsid w:val="00F72C5D"/>
    <w:rsid w:val="00F73709"/>
    <w:rsid w:val="00F73B1B"/>
    <w:rsid w:val="00F73E67"/>
    <w:rsid w:val="00F745D7"/>
    <w:rsid w:val="00F74BE0"/>
    <w:rsid w:val="00F7564F"/>
    <w:rsid w:val="00F770A1"/>
    <w:rsid w:val="00F808C4"/>
    <w:rsid w:val="00F80C81"/>
    <w:rsid w:val="00F82619"/>
    <w:rsid w:val="00F829B5"/>
    <w:rsid w:val="00F82C04"/>
    <w:rsid w:val="00F8314C"/>
    <w:rsid w:val="00F842E3"/>
    <w:rsid w:val="00F85542"/>
    <w:rsid w:val="00F9070D"/>
    <w:rsid w:val="00F91EFC"/>
    <w:rsid w:val="00F92C1B"/>
    <w:rsid w:val="00F92CFB"/>
    <w:rsid w:val="00F94D20"/>
    <w:rsid w:val="00F96AD0"/>
    <w:rsid w:val="00F96EA6"/>
    <w:rsid w:val="00FA005F"/>
    <w:rsid w:val="00FA2078"/>
    <w:rsid w:val="00FA25F4"/>
    <w:rsid w:val="00FA7D14"/>
    <w:rsid w:val="00FB38D1"/>
    <w:rsid w:val="00FB3E65"/>
    <w:rsid w:val="00FB3FB6"/>
    <w:rsid w:val="00FB4CBD"/>
    <w:rsid w:val="00FB503E"/>
    <w:rsid w:val="00FC0286"/>
    <w:rsid w:val="00FC1000"/>
    <w:rsid w:val="00FC28B5"/>
    <w:rsid w:val="00FC4D18"/>
    <w:rsid w:val="00FC640F"/>
    <w:rsid w:val="00FD0106"/>
    <w:rsid w:val="00FD26C3"/>
    <w:rsid w:val="00FD30B4"/>
    <w:rsid w:val="00FD3C64"/>
    <w:rsid w:val="00FD4330"/>
    <w:rsid w:val="00FD43D6"/>
    <w:rsid w:val="00FD522F"/>
    <w:rsid w:val="00FD53FD"/>
    <w:rsid w:val="00FD662C"/>
    <w:rsid w:val="00FE0ECC"/>
    <w:rsid w:val="00FE3B65"/>
    <w:rsid w:val="00FE4416"/>
    <w:rsid w:val="00FE4A05"/>
    <w:rsid w:val="00FE4F44"/>
    <w:rsid w:val="00FE5237"/>
    <w:rsid w:val="00FE5895"/>
    <w:rsid w:val="00FE5A9F"/>
    <w:rsid w:val="00FF0550"/>
    <w:rsid w:val="00FF0A06"/>
    <w:rsid w:val="00FF0AD3"/>
    <w:rsid w:val="00FF2DC4"/>
    <w:rsid w:val="00FF2DE2"/>
    <w:rsid w:val="00FF300C"/>
    <w:rsid w:val="00FF4241"/>
    <w:rsid w:val="00FF47BF"/>
    <w:rsid w:val="00FF53F5"/>
    <w:rsid w:val="00FF6BE6"/>
    <w:rsid w:val="00FF6E73"/>
    <w:rsid w:val="00FF700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4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D4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42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D42D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5D42D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5D42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D42D2"/>
    <w:pPr>
      <w:tabs>
        <w:tab w:val="left" w:pos="142"/>
      </w:tabs>
      <w:spacing w:before="200"/>
      <w:ind w:left="142" w:hanging="142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42D2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Znakapoznpodarou">
    <w:name w:val="footnote reference"/>
    <w:semiHidden/>
    <w:rsid w:val="005D42D2"/>
    <w:rPr>
      <w:rFonts w:ascii="Times New Roman" w:hAnsi="Times New Roman"/>
      <w:sz w:val="20"/>
      <w:vertAlign w:val="superscript"/>
    </w:rPr>
  </w:style>
  <w:style w:type="paragraph" w:customStyle="1" w:styleId="Mjodstavec">
    <w:name w:val="Můj odstavec"/>
    <w:basedOn w:val="Seznam2"/>
    <w:link w:val="MjodstavecChar"/>
    <w:rsid w:val="005D42D2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link w:val="Seznam2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D4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D42D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5D42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4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D4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42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D42D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5D42D2"/>
    <w:pPr>
      <w:ind w:left="566" w:hanging="283"/>
    </w:pPr>
  </w:style>
  <w:style w:type="paragraph" w:styleId="Zkladntextodsazen">
    <w:name w:val="Body Text Indent"/>
    <w:basedOn w:val="Normln"/>
    <w:link w:val="ZkladntextodsazenChar"/>
    <w:rsid w:val="005D42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D42D2"/>
    <w:pPr>
      <w:tabs>
        <w:tab w:val="left" w:pos="142"/>
      </w:tabs>
      <w:spacing w:before="200"/>
      <w:ind w:left="142" w:hanging="142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42D2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Znakapoznpodarou">
    <w:name w:val="footnote reference"/>
    <w:semiHidden/>
    <w:rsid w:val="005D42D2"/>
    <w:rPr>
      <w:rFonts w:ascii="Times New Roman" w:hAnsi="Times New Roman"/>
      <w:sz w:val="20"/>
      <w:vertAlign w:val="superscript"/>
    </w:rPr>
  </w:style>
  <w:style w:type="paragraph" w:customStyle="1" w:styleId="Mjodstavec">
    <w:name w:val="Můj odstavec"/>
    <w:basedOn w:val="Seznam2"/>
    <w:link w:val="MjodstavecChar"/>
    <w:rsid w:val="005D42D2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2Char">
    <w:name w:val="Seznam 2 Char"/>
    <w:link w:val="Seznam2"/>
    <w:rsid w:val="005D4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D4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D42D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5D42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AEFE-EF62-4377-B130-960B397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Horálek Jaromír</dc:creator>
  <cp:lastModifiedBy>Janda Josef</cp:lastModifiedBy>
  <cp:revision>2</cp:revision>
  <cp:lastPrinted>2019-01-31T12:43:00Z</cp:lastPrinted>
  <dcterms:created xsi:type="dcterms:W3CDTF">2019-01-31T13:01:00Z</dcterms:created>
  <dcterms:modified xsi:type="dcterms:W3CDTF">2019-01-31T13:01:00Z</dcterms:modified>
</cp:coreProperties>
</file>