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97" w:rsidRPr="00F106C2" w:rsidRDefault="00F106C2" w:rsidP="00F106C2">
      <w:pPr>
        <w:pStyle w:val="Seznam2"/>
        <w:spacing w:after="120"/>
        <w:ind w:left="0" w:firstLine="0"/>
        <w:jc w:val="center"/>
        <w:rPr>
          <w:b/>
          <w:i/>
          <w:sz w:val="36"/>
          <w:szCs w:val="36"/>
          <w:u w:val="single"/>
        </w:rPr>
      </w:pPr>
      <w:r w:rsidRPr="00F106C2">
        <w:rPr>
          <w:b/>
          <w:i/>
          <w:sz w:val="36"/>
          <w:szCs w:val="36"/>
          <w:u w:val="single"/>
        </w:rPr>
        <w:t>K</w:t>
      </w:r>
      <w:r w:rsidR="00527597" w:rsidRPr="00F106C2">
        <w:rPr>
          <w:b/>
          <w:i/>
          <w:sz w:val="36"/>
          <w:szCs w:val="36"/>
          <w:u w:val="single"/>
        </w:rPr>
        <w:t>ontrolní činnost</w:t>
      </w:r>
    </w:p>
    <w:p w:rsidR="00F106C2" w:rsidRDefault="00F106C2" w:rsidP="00527597">
      <w:pPr>
        <w:pStyle w:val="Seznam2"/>
        <w:spacing w:after="120"/>
        <w:ind w:left="0" w:firstLine="360"/>
        <w:jc w:val="both"/>
        <w:rPr>
          <w:rStyle w:val="Text"/>
        </w:rPr>
      </w:pPr>
    </w:p>
    <w:p w:rsidR="00527597" w:rsidRPr="00F50316" w:rsidRDefault="00527597" w:rsidP="00527597">
      <w:pPr>
        <w:pStyle w:val="Seznam2"/>
        <w:spacing w:after="120"/>
        <w:ind w:left="0" w:firstLine="360"/>
        <w:jc w:val="both"/>
        <w:rPr>
          <w:rStyle w:val="Text"/>
        </w:rPr>
      </w:pPr>
      <w:r w:rsidRPr="00F50316">
        <w:rPr>
          <w:rStyle w:val="Text"/>
        </w:rPr>
        <w:t xml:space="preserve">Oddělení kontrolní činnosti HZS </w:t>
      </w:r>
      <w:proofErr w:type="spellStart"/>
      <w:r w:rsidRPr="00F50316">
        <w:rPr>
          <w:rStyle w:val="Text"/>
        </w:rPr>
        <w:t>JčK</w:t>
      </w:r>
      <w:proofErr w:type="spellEnd"/>
      <w:r w:rsidRPr="00F50316">
        <w:rPr>
          <w:rStyle w:val="Text"/>
        </w:rPr>
        <w:t xml:space="preserve"> odpovídá za zabezpečení výkonu státní správy v oblasti požární ochrany, respektive zabezpečuje kontrolní činnost na úseku požární ochrany.</w:t>
      </w:r>
    </w:p>
    <w:p w:rsidR="00527597" w:rsidRPr="00F50316" w:rsidRDefault="00527597" w:rsidP="00527597">
      <w:pPr>
        <w:pStyle w:val="Zkladntext2"/>
        <w:spacing w:after="0" w:line="240" w:lineRule="auto"/>
        <w:ind w:firstLine="360"/>
        <w:jc w:val="both"/>
      </w:pPr>
      <w:r w:rsidRPr="00F50316">
        <w:t xml:space="preserve">Oddělení kontrolní činnosti HZS </w:t>
      </w:r>
      <w:proofErr w:type="spellStart"/>
      <w:r w:rsidRPr="00F50316">
        <w:t>JčK</w:t>
      </w:r>
      <w:proofErr w:type="spellEnd"/>
      <w:r w:rsidRPr="00F50316">
        <w:t xml:space="preserve"> plnilo v roce 2009 zejména následující úkoly: </w:t>
      </w:r>
    </w:p>
    <w:p w:rsidR="00527597" w:rsidRPr="00F50316" w:rsidRDefault="00527597" w:rsidP="00527597">
      <w:pPr>
        <w:numPr>
          <w:ilvl w:val="0"/>
          <w:numId w:val="4"/>
        </w:numPr>
        <w:jc w:val="both"/>
      </w:pPr>
      <w:r w:rsidRPr="00F50316">
        <w:t xml:space="preserve">výkon státního požárního dozoru formou kontrol dodržování povinností stanovených předpisy o požární ochraně, </w:t>
      </w:r>
    </w:p>
    <w:p w:rsidR="00527597" w:rsidRPr="00F50316" w:rsidRDefault="00527597" w:rsidP="00527597">
      <w:pPr>
        <w:numPr>
          <w:ilvl w:val="0"/>
          <w:numId w:val="4"/>
        </w:numPr>
        <w:jc w:val="both"/>
      </w:pPr>
      <w:r w:rsidRPr="00F50316">
        <w:t>zpracování plánu kontrolní činnosti,</w:t>
      </w:r>
    </w:p>
    <w:p w:rsidR="00527597" w:rsidRPr="00F50316" w:rsidRDefault="00527597" w:rsidP="00527597">
      <w:pPr>
        <w:numPr>
          <w:ilvl w:val="0"/>
          <w:numId w:val="4"/>
        </w:numPr>
        <w:jc w:val="both"/>
      </w:pPr>
      <w:r w:rsidRPr="00F50316">
        <w:t xml:space="preserve">výkon státní správy na úseku prevence závažných havárií, </w:t>
      </w:r>
    </w:p>
    <w:p w:rsidR="00527597" w:rsidRPr="00F50316" w:rsidRDefault="00527597" w:rsidP="00527597">
      <w:pPr>
        <w:numPr>
          <w:ilvl w:val="0"/>
          <w:numId w:val="4"/>
        </w:numPr>
        <w:jc w:val="both"/>
      </w:pPr>
      <w:r w:rsidRPr="00F50316">
        <w:t xml:space="preserve">podíl na přípravě nařízení krajů na úseku požární ochrany, </w:t>
      </w:r>
    </w:p>
    <w:p w:rsidR="00527597" w:rsidRPr="00F50316" w:rsidRDefault="00527597" w:rsidP="00527597">
      <w:pPr>
        <w:numPr>
          <w:ilvl w:val="0"/>
          <w:numId w:val="4"/>
        </w:numPr>
        <w:jc w:val="both"/>
      </w:pPr>
      <w:r w:rsidRPr="00F50316">
        <w:t xml:space="preserve">podíl na posuzování bezpečnostní dokumentace zpracovávané a předkládané v rámci prevence závažných havárií způsobených vybranými nebezpečnými chemickými látkami a chemickými přípravky, </w:t>
      </w:r>
    </w:p>
    <w:p w:rsidR="00527597" w:rsidRDefault="00527597" w:rsidP="00527597">
      <w:pPr>
        <w:numPr>
          <w:ilvl w:val="0"/>
          <w:numId w:val="4"/>
        </w:numPr>
        <w:jc w:val="both"/>
      </w:pPr>
      <w:r w:rsidRPr="00F50316">
        <w:t>schvalování posouzení požárního nebezpečí činností s vysokým požárním nebezpečím.</w:t>
      </w:r>
    </w:p>
    <w:p w:rsidR="00527597" w:rsidRDefault="00527597" w:rsidP="00527597">
      <w:pPr>
        <w:ind w:left="360"/>
        <w:jc w:val="both"/>
      </w:pPr>
    </w:p>
    <w:p w:rsidR="00527597" w:rsidRDefault="00527597" w:rsidP="00527597">
      <w:pPr>
        <w:spacing w:after="120"/>
        <w:ind w:firstLine="360"/>
        <w:jc w:val="both"/>
      </w:pPr>
      <w:r w:rsidRPr="00F50316">
        <w:t xml:space="preserve">Kontrolní činnost byla v uplynulém roce zajišťována v souladu s „Plánem kontrol HZS </w:t>
      </w:r>
      <w:proofErr w:type="spellStart"/>
      <w:r w:rsidRPr="00F50316">
        <w:t>JčK</w:t>
      </w:r>
      <w:proofErr w:type="spellEnd"/>
      <w:r w:rsidRPr="00F50316">
        <w:t xml:space="preserve"> na rok 2009“. Tento plán byl schválen MV - GŘ HZS ČR. V roce 2009 bylo provedeno celkem 993 požárních kontrol.</w:t>
      </w:r>
    </w:p>
    <w:p w:rsidR="00527597" w:rsidRPr="00F50316" w:rsidRDefault="00527597" w:rsidP="00527597">
      <w:pPr>
        <w:spacing w:after="120"/>
        <w:ind w:firstLine="360"/>
        <w:jc w:val="both"/>
      </w:pPr>
    </w:p>
    <w:p w:rsidR="00527597" w:rsidRPr="00F106C2" w:rsidRDefault="00527597" w:rsidP="00527597">
      <w:pPr>
        <w:spacing w:after="120"/>
        <w:jc w:val="both"/>
        <w:rPr>
          <w:i/>
        </w:rPr>
      </w:pPr>
      <w:r w:rsidRPr="00F106C2">
        <w:rPr>
          <w:b/>
          <w:i/>
        </w:rPr>
        <w:t>Tabulka č. 1:</w:t>
      </w:r>
      <w:r w:rsidRPr="00F106C2">
        <w:rPr>
          <w:i/>
        </w:rPr>
        <w:t xml:space="preserve"> Přehled provedených požárních kontrol u právnických osob a podnikajících fyzických osob.</w:t>
      </w:r>
    </w:p>
    <w:tbl>
      <w:tblPr>
        <w:tblW w:w="9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080"/>
        <w:gridCol w:w="960"/>
        <w:gridCol w:w="960"/>
        <w:gridCol w:w="960"/>
        <w:gridCol w:w="960"/>
        <w:gridCol w:w="1020"/>
        <w:gridCol w:w="900"/>
        <w:gridCol w:w="1080"/>
      </w:tblGrid>
      <w:tr w:rsidR="00527597" w:rsidTr="004C6670">
        <w:trPr>
          <w:cantSplit/>
          <w:trHeight w:val="327"/>
        </w:trPr>
        <w:tc>
          <w:tcPr>
            <w:tcW w:w="127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F50316" w:rsidRDefault="00527597" w:rsidP="004C6670">
            <w:pPr>
              <w:jc w:val="center"/>
              <w:rPr>
                <w:b/>
                <w:sz w:val="22"/>
                <w:szCs w:val="16"/>
              </w:rPr>
            </w:pPr>
            <w:bookmarkStart w:id="0" w:name="OLE_LINK1"/>
            <w:r w:rsidRPr="00F50316">
              <w:rPr>
                <w:b/>
                <w:sz w:val="22"/>
                <w:szCs w:val="16"/>
              </w:rPr>
              <w:t>Požární kontrola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DB444E" w:rsidRDefault="00527597" w:rsidP="004C6670">
            <w:pPr>
              <w:ind w:hanging="11"/>
              <w:jc w:val="center"/>
              <w:rPr>
                <w:sz w:val="22"/>
                <w:szCs w:val="16"/>
              </w:rPr>
            </w:pPr>
            <w:r w:rsidRPr="00DB444E">
              <w:rPr>
                <w:sz w:val="22"/>
                <w:szCs w:val="16"/>
              </w:rPr>
              <w:t xml:space="preserve">Ředitelství HZS </w:t>
            </w:r>
            <w:proofErr w:type="spellStart"/>
            <w:r w:rsidRPr="00DB444E">
              <w:rPr>
                <w:sz w:val="22"/>
                <w:szCs w:val="16"/>
              </w:rPr>
              <w:t>JčK</w:t>
            </w:r>
            <w:proofErr w:type="spellEnd"/>
          </w:p>
        </w:tc>
        <w:tc>
          <w:tcPr>
            <w:tcW w:w="5760" w:type="dxa"/>
            <w:gridSpan w:val="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DB444E" w:rsidRDefault="00527597" w:rsidP="004C6670">
            <w:pPr>
              <w:jc w:val="center"/>
              <w:rPr>
                <w:sz w:val="22"/>
                <w:szCs w:val="16"/>
              </w:rPr>
            </w:pPr>
            <w:r w:rsidRPr="00DB444E">
              <w:rPr>
                <w:sz w:val="22"/>
                <w:szCs w:val="16"/>
              </w:rPr>
              <w:t xml:space="preserve">HZS </w:t>
            </w:r>
            <w:proofErr w:type="spellStart"/>
            <w:r w:rsidRPr="00DB444E">
              <w:rPr>
                <w:sz w:val="22"/>
                <w:szCs w:val="16"/>
              </w:rPr>
              <w:t>JčK</w:t>
            </w:r>
            <w:proofErr w:type="spellEnd"/>
            <w:r w:rsidRPr="00DB444E">
              <w:rPr>
                <w:sz w:val="22"/>
                <w:szCs w:val="16"/>
              </w:rPr>
              <w:t xml:space="preserve"> Územní odbor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Default="00527597" w:rsidP="004C6670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 xml:space="preserve">Celkem HZS </w:t>
            </w:r>
            <w:proofErr w:type="spellStart"/>
            <w:r>
              <w:rPr>
                <w:b/>
                <w:bCs/>
                <w:sz w:val="22"/>
                <w:szCs w:val="16"/>
              </w:rPr>
              <w:t>JčK</w:t>
            </w:r>
            <w:proofErr w:type="spellEnd"/>
          </w:p>
        </w:tc>
      </w:tr>
      <w:tr w:rsidR="00527597" w:rsidTr="004C6670">
        <w:trPr>
          <w:cantSplit/>
          <w:trHeight w:val="327"/>
        </w:trPr>
        <w:tc>
          <w:tcPr>
            <w:tcW w:w="1271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DB444E" w:rsidRDefault="00527597" w:rsidP="004C6670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DB444E" w:rsidRDefault="00527597" w:rsidP="004C6670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DB444E" w:rsidRDefault="00527597" w:rsidP="004C6670">
            <w:pPr>
              <w:jc w:val="center"/>
              <w:rPr>
                <w:sz w:val="22"/>
                <w:szCs w:val="16"/>
              </w:rPr>
            </w:pPr>
            <w:r w:rsidRPr="00DB444E">
              <w:rPr>
                <w:sz w:val="22"/>
                <w:szCs w:val="16"/>
              </w:rPr>
              <w:t>Český Krumlov</w:t>
            </w:r>
          </w:p>
        </w:tc>
        <w:tc>
          <w:tcPr>
            <w:tcW w:w="9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DB444E" w:rsidRDefault="00527597" w:rsidP="004C6670">
            <w:pPr>
              <w:jc w:val="center"/>
              <w:rPr>
                <w:sz w:val="22"/>
                <w:szCs w:val="16"/>
              </w:rPr>
            </w:pPr>
            <w:r w:rsidRPr="00DB444E">
              <w:rPr>
                <w:sz w:val="22"/>
                <w:szCs w:val="16"/>
              </w:rPr>
              <w:t>Jindřichův Hradec</w:t>
            </w:r>
          </w:p>
        </w:tc>
        <w:tc>
          <w:tcPr>
            <w:tcW w:w="9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DB444E" w:rsidRDefault="00527597" w:rsidP="004C6670">
            <w:pPr>
              <w:jc w:val="center"/>
              <w:rPr>
                <w:sz w:val="22"/>
                <w:szCs w:val="16"/>
              </w:rPr>
            </w:pPr>
            <w:r w:rsidRPr="00DB444E">
              <w:rPr>
                <w:sz w:val="22"/>
                <w:szCs w:val="16"/>
              </w:rPr>
              <w:t>Písek</w:t>
            </w:r>
          </w:p>
        </w:tc>
        <w:tc>
          <w:tcPr>
            <w:tcW w:w="9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DB444E" w:rsidRDefault="00527597" w:rsidP="004C6670">
            <w:pPr>
              <w:jc w:val="center"/>
              <w:rPr>
                <w:sz w:val="22"/>
                <w:szCs w:val="16"/>
              </w:rPr>
            </w:pPr>
            <w:r w:rsidRPr="00DB444E">
              <w:rPr>
                <w:sz w:val="22"/>
                <w:szCs w:val="16"/>
              </w:rPr>
              <w:t>Prachatice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DB444E" w:rsidRDefault="00527597" w:rsidP="004C6670">
            <w:pPr>
              <w:jc w:val="center"/>
              <w:rPr>
                <w:sz w:val="22"/>
                <w:szCs w:val="16"/>
              </w:rPr>
            </w:pPr>
            <w:r w:rsidRPr="00DB444E">
              <w:rPr>
                <w:sz w:val="22"/>
                <w:szCs w:val="16"/>
              </w:rPr>
              <w:t>Strakonice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DB444E" w:rsidRDefault="00527597" w:rsidP="004C6670">
            <w:pPr>
              <w:jc w:val="center"/>
              <w:rPr>
                <w:sz w:val="22"/>
                <w:szCs w:val="16"/>
              </w:rPr>
            </w:pPr>
            <w:r w:rsidRPr="00DB444E">
              <w:rPr>
                <w:sz w:val="22"/>
                <w:szCs w:val="16"/>
              </w:rPr>
              <w:t>Tábor</w:t>
            </w: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Default="00527597" w:rsidP="004C6670">
            <w:pPr>
              <w:jc w:val="center"/>
              <w:rPr>
                <w:b/>
                <w:bCs/>
                <w:sz w:val="22"/>
                <w:szCs w:val="16"/>
              </w:rPr>
            </w:pPr>
          </w:p>
        </w:tc>
      </w:tr>
      <w:tr w:rsidR="00527597" w:rsidTr="004C6670">
        <w:trPr>
          <w:cantSplit/>
          <w:trHeight w:val="327"/>
        </w:trPr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>
              <w:rPr>
                <w:sz w:val="21"/>
                <w:szCs w:val="16"/>
              </w:rPr>
              <w:t>komplexní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18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20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18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150E6B" w:rsidRDefault="00527597" w:rsidP="004C6670">
            <w:pPr>
              <w:jc w:val="center"/>
              <w:rPr>
                <w:rFonts w:eastAsia="Arial Unicode MS"/>
                <w:b/>
                <w:bCs/>
                <w:sz w:val="21"/>
                <w:szCs w:val="16"/>
              </w:rPr>
            </w:pPr>
            <w:r w:rsidRPr="00150E6B">
              <w:rPr>
                <w:b/>
                <w:bCs/>
                <w:sz w:val="21"/>
                <w:szCs w:val="16"/>
              </w:rPr>
              <w:t>126</w:t>
            </w:r>
          </w:p>
        </w:tc>
      </w:tr>
      <w:tr w:rsidR="00527597" w:rsidTr="004C6670">
        <w:trPr>
          <w:cantSplit/>
          <w:trHeight w:val="327"/>
        </w:trPr>
        <w:tc>
          <w:tcPr>
            <w:tcW w:w="1271" w:type="dxa"/>
            <w:tcBorders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>
              <w:rPr>
                <w:sz w:val="21"/>
                <w:szCs w:val="16"/>
              </w:rPr>
              <w:t>tematické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68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82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54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61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79</w:t>
            </w:r>
          </w:p>
        </w:tc>
        <w:tc>
          <w:tcPr>
            <w:tcW w:w="102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73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68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150E6B" w:rsidRDefault="00527597" w:rsidP="004C6670">
            <w:pPr>
              <w:jc w:val="center"/>
              <w:rPr>
                <w:rFonts w:eastAsia="Arial Unicode MS"/>
                <w:b/>
                <w:bCs/>
                <w:sz w:val="21"/>
                <w:szCs w:val="16"/>
              </w:rPr>
            </w:pPr>
            <w:r w:rsidRPr="00150E6B">
              <w:rPr>
                <w:rFonts w:eastAsia="Arial Unicode MS"/>
                <w:b/>
                <w:bCs/>
                <w:sz w:val="21"/>
                <w:szCs w:val="16"/>
              </w:rPr>
              <w:t>485</w:t>
            </w:r>
          </w:p>
        </w:tc>
      </w:tr>
      <w:tr w:rsidR="00527597" w:rsidTr="004C6670">
        <w:trPr>
          <w:cantSplit/>
          <w:trHeight w:val="498"/>
        </w:trPr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Default="00527597" w:rsidP="004C6670">
            <w:pPr>
              <w:jc w:val="center"/>
              <w:rPr>
                <w:sz w:val="21"/>
                <w:szCs w:val="16"/>
              </w:rPr>
            </w:pPr>
            <w:r>
              <w:rPr>
                <w:sz w:val="21"/>
                <w:szCs w:val="16"/>
              </w:rPr>
              <w:t>kontrolní</w:t>
            </w:r>
          </w:p>
          <w:p w:rsidR="00527597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>
              <w:rPr>
                <w:sz w:val="21"/>
                <w:szCs w:val="16"/>
              </w:rPr>
              <w:t>dohlídka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53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58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55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61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70</w:t>
            </w:r>
          </w:p>
        </w:tc>
        <w:tc>
          <w:tcPr>
            <w:tcW w:w="102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69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840AAA" w:rsidRDefault="00527597" w:rsidP="004C6670">
            <w:pPr>
              <w:jc w:val="center"/>
              <w:rPr>
                <w:rFonts w:eastAsia="Arial Unicode MS"/>
                <w:sz w:val="21"/>
                <w:szCs w:val="16"/>
              </w:rPr>
            </w:pPr>
            <w:r w:rsidRPr="00840AAA">
              <w:rPr>
                <w:sz w:val="21"/>
                <w:szCs w:val="16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27597" w:rsidRPr="00150E6B" w:rsidRDefault="00527597" w:rsidP="004C6670">
            <w:pPr>
              <w:jc w:val="center"/>
              <w:rPr>
                <w:rFonts w:eastAsia="Arial Unicode MS"/>
                <w:b/>
                <w:bCs/>
                <w:sz w:val="21"/>
                <w:szCs w:val="16"/>
              </w:rPr>
            </w:pPr>
            <w:r w:rsidRPr="00150E6B">
              <w:rPr>
                <w:b/>
                <w:bCs/>
                <w:sz w:val="21"/>
                <w:szCs w:val="16"/>
              </w:rPr>
              <w:t>382</w:t>
            </w:r>
          </w:p>
        </w:tc>
      </w:tr>
    </w:tbl>
    <w:bookmarkEnd w:id="0"/>
    <w:p w:rsidR="00527597" w:rsidRPr="00425D1F" w:rsidRDefault="00527597" w:rsidP="00527597">
      <w:pPr>
        <w:spacing w:after="120"/>
        <w:rPr>
          <w:color w:val="0000FF"/>
        </w:rPr>
      </w:pPr>
      <w:r w:rsidRPr="00425D1F">
        <w:rPr>
          <w:color w:val="0000FF"/>
        </w:rPr>
        <w:tab/>
      </w:r>
    </w:p>
    <w:p w:rsidR="00527597" w:rsidRPr="00425D1F" w:rsidRDefault="00527597" w:rsidP="00527597">
      <w:pPr>
        <w:pStyle w:val="Zkladntextodsazen2"/>
        <w:spacing w:line="240" w:lineRule="auto"/>
        <w:ind w:left="0" w:firstLine="708"/>
        <w:jc w:val="both"/>
      </w:pPr>
      <w:r w:rsidRPr="00425D1F">
        <w:t xml:space="preserve">Kontrolní činnost byla zaměřena na prověření dodržování povinností stanovených předpisy o požární ochraně ve stanoveném rozsahu u jednotlivých právních subjektů. </w:t>
      </w:r>
    </w:p>
    <w:p w:rsidR="00527597" w:rsidRPr="00425D1F" w:rsidRDefault="00527597" w:rsidP="00527597">
      <w:pPr>
        <w:pStyle w:val="Zkladntextodsazen2"/>
        <w:spacing w:line="240" w:lineRule="auto"/>
        <w:ind w:left="0" w:firstLine="708"/>
        <w:jc w:val="both"/>
      </w:pPr>
      <w:r w:rsidRPr="004A624B">
        <w:rPr>
          <w:u w:val="single"/>
        </w:rPr>
        <w:t>Tematické požární kontroly</w:t>
      </w:r>
      <w:r w:rsidRPr="00425D1F">
        <w:t xml:space="preserve"> byly v roce 2009 zaměřeny zejména na vybrané provozované činnosti na základě zadání MV - GŘ HZS ČR pro rok 2009 pro celé území České republiky. Jednalo se o:</w:t>
      </w:r>
    </w:p>
    <w:p w:rsidR="00527597" w:rsidRPr="00DE48F6" w:rsidRDefault="00527597" w:rsidP="00527597">
      <w:pPr>
        <w:pStyle w:val="Nadpis3"/>
        <w:numPr>
          <w:ilvl w:val="2"/>
          <w:numId w:val="2"/>
        </w:numPr>
        <w:tabs>
          <w:tab w:val="clear" w:pos="2160"/>
          <w:tab w:val="num" w:pos="36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E48F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kontrolní úkol č. 3/2008: tematické požární kontroly</w:t>
      </w:r>
    </w:p>
    <w:p w:rsidR="00527597" w:rsidRPr="00425D1F" w:rsidRDefault="00527597" w:rsidP="00527597">
      <w:pPr>
        <w:tabs>
          <w:tab w:val="num" w:pos="360"/>
        </w:tabs>
        <w:spacing w:after="120"/>
        <w:ind w:left="708"/>
        <w:jc w:val="both"/>
      </w:pPr>
      <w:r w:rsidRPr="00425D1F">
        <w:t>u právnických osob a podnikajících fyzických osob, které provozují činnosti se zvýšeným požárním nebezpečím a vysokým požárním nebezpečím a zpracovávají dokumentaci zdolávání požárů podle § 15 zákona č. 133/1985 Sb., o požární ochraně, ve znění pozdějších předpisů a § 34 vyhlášky č. 246/2001 Sb., o stanovení podmínek požární bezpečnosti a výkonu státního požárního dozoru (vyhláška o požární prevenci).</w:t>
      </w:r>
    </w:p>
    <w:p w:rsidR="00527597" w:rsidRPr="008B64A6" w:rsidRDefault="00527597" w:rsidP="00527597">
      <w:pPr>
        <w:tabs>
          <w:tab w:val="num" w:pos="360"/>
        </w:tabs>
        <w:spacing w:after="120"/>
        <w:ind w:left="708"/>
        <w:rPr>
          <w:sz w:val="20"/>
          <w:szCs w:val="20"/>
        </w:rPr>
      </w:pPr>
      <w:r w:rsidRPr="008B64A6">
        <w:rPr>
          <w:sz w:val="20"/>
          <w:szCs w:val="20"/>
        </w:rPr>
        <w:t>Pozn.: pokračování úkolu z roku 2008</w:t>
      </w:r>
    </w:p>
    <w:p w:rsidR="00527597" w:rsidRPr="00DE48F6" w:rsidRDefault="00527597" w:rsidP="00527597">
      <w:pPr>
        <w:pStyle w:val="Nadpis3"/>
        <w:numPr>
          <w:ilvl w:val="2"/>
          <w:numId w:val="2"/>
        </w:numPr>
        <w:tabs>
          <w:tab w:val="clear" w:pos="2160"/>
          <w:tab w:val="num" w:pos="36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E48F6">
        <w:rPr>
          <w:rFonts w:ascii="Times New Roman" w:hAnsi="Times New Roman" w:cs="Times New Roman"/>
          <w:b w:val="0"/>
          <w:bCs w:val="0"/>
          <w:i/>
          <w:sz w:val="24"/>
          <w:szCs w:val="24"/>
        </w:rPr>
        <w:lastRenderedPageBreak/>
        <w:t>kontrolní úkol č. 1/2009: tematické požární kontroly</w:t>
      </w:r>
    </w:p>
    <w:p w:rsidR="00527597" w:rsidRPr="00425D1F" w:rsidRDefault="00527597" w:rsidP="00527597">
      <w:pPr>
        <w:tabs>
          <w:tab w:val="num" w:pos="360"/>
        </w:tabs>
        <w:spacing w:after="120"/>
        <w:ind w:left="708"/>
        <w:jc w:val="both"/>
      </w:pPr>
      <w:r w:rsidRPr="00425D1F">
        <w:t xml:space="preserve">u právnických osob a podnikajících fyzických osob, které provozují činnosti v prostorách bývalých zemědělských, průmyslových, vojenských a podobných areálů. Převažovaly kontroly subjektů zejména v bývalých průmyslových areálech. </w:t>
      </w:r>
    </w:p>
    <w:p w:rsidR="00527597" w:rsidRPr="00DE48F6" w:rsidRDefault="00527597" w:rsidP="00527597">
      <w:pPr>
        <w:pStyle w:val="Nadpis3"/>
        <w:numPr>
          <w:ilvl w:val="2"/>
          <w:numId w:val="2"/>
        </w:numPr>
        <w:tabs>
          <w:tab w:val="clear" w:pos="2160"/>
          <w:tab w:val="num" w:pos="36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E48F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kontrolní úkol č. 2/2009: tematické požární kontroly</w:t>
      </w:r>
    </w:p>
    <w:p w:rsidR="00527597" w:rsidRPr="00425D1F" w:rsidRDefault="00527597" w:rsidP="00527597">
      <w:pPr>
        <w:tabs>
          <w:tab w:val="num" w:pos="360"/>
        </w:tabs>
        <w:spacing w:after="120"/>
        <w:ind w:left="708"/>
        <w:jc w:val="both"/>
      </w:pPr>
      <w:r w:rsidRPr="00425D1F">
        <w:t>u právnických osob a podnikajících fyzických osob, které p</w:t>
      </w:r>
      <w:r>
        <w:t xml:space="preserve">rovozují činnosti v prostorách </w:t>
      </w:r>
      <w:r w:rsidRPr="00425D1F">
        <w:t>velkých tržnic. Byly provedeny pouze dvě tematické požární kontroly k danému kontrolnímu úkolu, a to územním odborem Prachatice.</w:t>
      </w:r>
    </w:p>
    <w:p w:rsidR="00527597" w:rsidRPr="00DE48F6" w:rsidRDefault="00527597" w:rsidP="00527597">
      <w:pPr>
        <w:pStyle w:val="Nadpis3"/>
        <w:numPr>
          <w:ilvl w:val="2"/>
          <w:numId w:val="2"/>
        </w:numPr>
        <w:tabs>
          <w:tab w:val="clear" w:pos="2160"/>
          <w:tab w:val="num" w:pos="36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E48F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kontrolní úkol č. 3/2009: tematické požární kontroly</w:t>
      </w:r>
    </w:p>
    <w:p w:rsidR="00527597" w:rsidRDefault="00527597" w:rsidP="00527597">
      <w:pPr>
        <w:tabs>
          <w:tab w:val="num" w:pos="360"/>
        </w:tabs>
        <w:spacing w:after="120"/>
        <w:ind w:left="708"/>
        <w:jc w:val="both"/>
      </w:pPr>
      <w:r w:rsidRPr="00425D1F">
        <w:t>u provozovatelů požárně bezpečnostních zařízení se zaměřením na náhradní zdroje a prostředky určené k zajištění provozuschopnosti požárně bezpečnostního zařízení.</w:t>
      </w:r>
    </w:p>
    <w:p w:rsidR="00527597" w:rsidRPr="00425D1F" w:rsidRDefault="00527597" w:rsidP="00527597">
      <w:pPr>
        <w:tabs>
          <w:tab w:val="num" w:pos="360"/>
        </w:tabs>
        <w:spacing w:after="120"/>
        <w:ind w:left="708"/>
      </w:pPr>
    </w:p>
    <w:p w:rsidR="00527597" w:rsidRPr="00F106C2" w:rsidRDefault="00527597" w:rsidP="00527597">
      <w:pPr>
        <w:spacing w:after="120"/>
        <w:rPr>
          <w:i/>
          <w:iCs/>
        </w:rPr>
      </w:pPr>
      <w:r w:rsidRPr="00F106C2">
        <w:rPr>
          <w:b/>
          <w:i/>
        </w:rPr>
        <w:t>Tabulka č. 2:</w:t>
      </w:r>
      <w:r w:rsidRPr="00F106C2">
        <w:rPr>
          <w:i/>
        </w:rPr>
        <w:t xml:space="preserve"> Přehled provedených požárních kontrol (na základě zadání MV - GŘ HZS ČR) </w:t>
      </w:r>
    </w:p>
    <w:tbl>
      <w:tblPr>
        <w:tblW w:w="9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620"/>
        <w:gridCol w:w="1224"/>
        <w:gridCol w:w="1224"/>
        <w:gridCol w:w="1224"/>
        <w:gridCol w:w="1224"/>
        <w:gridCol w:w="1224"/>
      </w:tblGrid>
      <w:tr w:rsidR="00527597" w:rsidTr="004C6670">
        <w:trPr>
          <w:trHeight w:val="418"/>
        </w:trPr>
        <w:tc>
          <w:tcPr>
            <w:tcW w:w="28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97" w:rsidRPr="001D2A13" w:rsidRDefault="00527597" w:rsidP="004C6670">
            <w:pPr>
              <w:spacing w:line="300" w:lineRule="exact"/>
              <w:rPr>
                <w:b/>
                <w:bCs/>
                <w:sz w:val="22"/>
                <w:szCs w:val="22"/>
              </w:rPr>
            </w:pPr>
            <w:r w:rsidRPr="001D2A13">
              <w:rPr>
                <w:b/>
                <w:bCs/>
                <w:sz w:val="22"/>
                <w:szCs w:val="22"/>
              </w:rPr>
              <w:t>Kontrolní úkol: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97" w:rsidRPr="001D2A13" w:rsidRDefault="00527597" w:rsidP="004C6670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1D2A1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1D2A13">
              <w:rPr>
                <w:b/>
                <w:bCs/>
                <w:sz w:val="22"/>
                <w:szCs w:val="22"/>
              </w:rPr>
              <w:t>/2008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527597" w:rsidRPr="001D2A13" w:rsidRDefault="00527597" w:rsidP="004C6670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1D2A1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1D2A13">
              <w:rPr>
                <w:b/>
                <w:bCs/>
                <w:sz w:val="22"/>
                <w:szCs w:val="22"/>
              </w:rPr>
              <w:t>/200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527597" w:rsidRPr="001D2A13" w:rsidRDefault="00527597" w:rsidP="004C6670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1D2A1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1D2A13">
              <w:rPr>
                <w:b/>
                <w:bCs/>
                <w:sz w:val="22"/>
                <w:szCs w:val="22"/>
              </w:rPr>
              <w:t>/200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27597" w:rsidRPr="001D2A13" w:rsidRDefault="00527597" w:rsidP="004C6670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1D2A1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1D2A13">
              <w:rPr>
                <w:b/>
                <w:bCs/>
                <w:sz w:val="22"/>
                <w:szCs w:val="22"/>
              </w:rPr>
              <w:t>/200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527597" w:rsidRPr="001D2A13" w:rsidRDefault="00527597" w:rsidP="004C6670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1D2A13">
              <w:rPr>
                <w:b/>
                <w:bCs/>
                <w:sz w:val="22"/>
                <w:szCs w:val="22"/>
              </w:rPr>
              <w:t>Celkem</w:t>
            </w:r>
          </w:p>
        </w:tc>
      </w:tr>
      <w:tr w:rsidR="00527597" w:rsidTr="004C6670">
        <w:trPr>
          <w:trHeight w:val="300"/>
        </w:trPr>
        <w:tc>
          <w:tcPr>
            <w:tcW w:w="2895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97" w:rsidRDefault="00527597" w:rsidP="004C6670">
            <w:pPr>
              <w:spacing w:line="300" w:lineRule="exac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Po</w:t>
            </w:r>
            <w:r>
              <w:rPr>
                <w:rFonts w:hint="eastAsia"/>
                <w:sz w:val="22"/>
                <w:szCs w:val="16"/>
              </w:rPr>
              <w:t>č</w:t>
            </w:r>
            <w:r>
              <w:rPr>
                <w:sz w:val="22"/>
                <w:szCs w:val="16"/>
              </w:rPr>
              <w:t>et kontrolovan</w:t>
            </w:r>
            <w:r>
              <w:rPr>
                <w:rFonts w:hint="eastAsia"/>
                <w:sz w:val="22"/>
                <w:szCs w:val="16"/>
              </w:rPr>
              <w:t>ý</w:t>
            </w:r>
            <w:r>
              <w:rPr>
                <w:sz w:val="22"/>
                <w:szCs w:val="16"/>
              </w:rPr>
              <w:t>ch subjekt</w:t>
            </w:r>
            <w:r>
              <w:rPr>
                <w:rFonts w:hint="eastAsia"/>
                <w:sz w:val="22"/>
                <w:szCs w:val="16"/>
              </w:rPr>
              <w:t>ů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97" w:rsidRPr="009700B0" w:rsidRDefault="00527597" w:rsidP="004C6670">
            <w:pPr>
              <w:spacing w:line="300" w:lineRule="exact"/>
              <w:jc w:val="center"/>
              <w:rPr>
                <w:bCs/>
                <w:sz w:val="22"/>
                <w:szCs w:val="16"/>
              </w:rPr>
            </w:pPr>
            <w:r w:rsidRPr="009700B0">
              <w:rPr>
                <w:bCs/>
                <w:sz w:val="22"/>
                <w:szCs w:val="16"/>
              </w:rPr>
              <w:t>161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vAlign w:val="center"/>
          </w:tcPr>
          <w:p w:rsidR="00527597" w:rsidRPr="00D61AA2" w:rsidRDefault="00527597" w:rsidP="004C6670">
            <w:pPr>
              <w:spacing w:line="300" w:lineRule="exact"/>
              <w:jc w:val="center"/>
              <w:rPr>
                <w:bCs/>
                <w:sz w:val="22"/>
                <w:szCs w:val="16"/>
              </w:rPr>
            </w:pPr>
            <w:r w:rsidRPr="00D61AA2">
              <w:rPr>
                <w:bCs/>
                <w:sz w:val="22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vAlign w:val="center"/>
          </w:tcPr>
          <w:p w:rsidR="00527597" w:rsidRPr="00D61AA2" w:rsidRDefault="00527597" w:rsidP="004C6670">
            <w:pPr>
              <w:spacing w:line="300" w:lineRule="exact"/>
              <w:jc w:val="center"/>
              <w:rPr>
                <w:bCs/>
                <w:sz w:val="22"/>
                <w:szCs w:val="16"/>
              </w:rPr>
            </w:pPr>
            <w:r w:rsidRPr="00D61AA2">
              <w:rPr>
                <w:bCs/>
                <w:sz w:val="22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7597" w:rsidRPr="00D61AA2" w:rsidRDefault="00527597" w:rsidP="004C6670">
            <w:pPr>
              <w:spacing w:line="300" w:lineRule="exact"/>
              <w:jc w:val="center"/>
              <w:rPr>
                <w:bCs/>
                <w:sz w:val="22"/>
                <w:szCs w:val="16"/>
              </w:rPr>
            </w:pPr>
            <w:r w:rsidRPr="00D61AA2">
              <w:rPr>
                <w:bCs/>
                <w:sz w:val="22"/>
                <w:szCs w:val="16"/>
              </w:rPr>
              <w:t>40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7597" w:rsidRPr="006B355E" w:rsidRDefault="00527597" w:rsidP="004C6670">
            <w:pPr>
              <w:spacing w:line="300" w:lineRule="exact"/>
              <w:jc w:val="center"/>
              <w:rPr>
                <w:b/>
                <w:bCs/>
                <w:sz w:val="22"/>
                <w:szCs w:val="16"/>
              </w:rPr>
            </w:pPr>
            <w:r w:rsidRPr="006B355E">
              <w:rPr>
                <w:b/>
                <w:bCs/>
                <w:sz w:val="22"/>
                <w:szCs w:val="16"/>
              </w:rPr>
              <w:t>288</w:t>
            </w:r>
          </w:p>
        </w:tc>
      </w:tr>
      <w:tr w:rsidR="00527597" w:rsidTr="004C6670">
        <w:trPr>
          <w:trHeight w:val="300"/>
        </w:trPr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97" w:rsidRDefault="00527597" w:rsidP="004C6670">
            <w:pPr>
              <w:spacing w:line="300" w:lineRule="exac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Po</w:t>
            </w:r>
            <w:r>
              <w:rPr>
                <w:rFonts w:hint="eastAsia"/>
                <w:sz w:val="22"/>
                <w:szCs w:val="16"/>
              </w:rPr>
              <w:t>č</w:t>
            </w:r>
            <w:r>
              <w:rPr>
                <w:sz w:val="22"/>
                <w:szCs w:val="16"/>
              </w:rPr>
              <w:t>et kontrol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97" w:rsidRDefault="00527597" w:rsidP="004C6670">
            <w:pPr>
              <w:spacing w:line="300" w:lineRule="exac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celkov</w:t>
            </w:r>
            <w:r>
              <w:rPr>
                <w:rFonts w:hint="eastAsia"/>
                <w:sz w:val="22"/>
                <w:szCs w:val="16"/>
              </w:rPr>
              <w:t>ý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527597" w:rsidRPr="009700B0" w:rsidRDefault="00527597" w:rsidP="004C6670">
            <w:pPr>
              <w:spacing w:line="300" w:lineRule="exact"/>
              <w:jc w:val="center"/>
              <w:rPr>
                <w:bCs/>
                <w:sz w:val="22"/>
                <w:szCs w:val="16"/>
              </w:rPr>
            </w:pPr>
            <w:r w:rsidRPr="009700B0">
              <w:rPr>
                <w:bCs/>
                <w:sz w:val="22"/>
                <w:szCs w:val="16"/>
              </w:rPr>
              <w:t>165</w:t>
            </w:r>
          </w:p>
        </w:tc>
        <w:tc>
          <w:tcPr>
            <w:tcW w:w="1224" w:type="dxa"/>
            <w:vAlign w:val="center"/>
          </w:tcPr>
          <w:p w:rsidR="00527597" w:rsidRPr="00D61AA2" w:rsidRDefault="00527597" w:rsidP="004C6670">
            <w:pPr>
              <w:spacing w:line="300" w:lineRule="exact"/>
              <w:jc w:val="center"/>
              <w:rPr>
                <w:bCs/>
                <w:sz w:val="22"/>
                <w:szCs w:val="16"/>
              </w:rPr>
            </w:pPr>
            <w:r w:rsidRPr="00D61AA2">
              <w:rPr>
                <w:bCs/>
                <w:sz w:val="22"/>
                <w:szCs w:val="16"/>
              </w:rPr>
              <w:t>85</w:t>
            </w:r>
          </w:p>
        </w:tc>
        <w:tc>
          <w:tcPr>
            <w:tcW w:w="1224" w:type="dxa"/>
            <w:vAlign w:val="center"/>
          </w:tcPr>
          <w:p w:rsidR="00527597" w:rsidRPr="00D61AA2" w:rsidRDefault="00527597" w:rsidP="004C6670">
            <w:pPr>
              <w:spacing w:line="300" w:lineRule="exact"/>
              <w:jc w:val="center"/>
              <w:rPr>
                <w:bCs/>
                <w:sz w:val="22"/>
                <w:szCs w:val="16"/>
              </w:rPr>
            </w:pPr>
            <w:r w:rsidRPr="00D61AA2">
              <w:rPr>
                <w:bCs/>
                <w:sz w:val="22"/>
                <w:szCs w:val="16"/>
              </w:rPr>
              <w:t>2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527597" w:rsidRPr="00D61AA2" w:rsidRDefault="00527597" w:rsidP="004C6670">
            <w:pPr>
              <w:spacing w:line="300" w:lineRule="exact"/>
              <w:jc w:val="center"/>
              <w:rPr>
                <w:bCs/>
                <w:sz w:val="22"/>
                <w:szCs w:val="16"/>
              </w:rPr>
            </w:pPr>
            <w:r w:rsidRPr="00D61AA2">
              <w:rPr>
                <w:bCs/>
                <w:sz w:val="22"/>
                <w:szCs w:val="16"/>
              </w:rPr>
              <w:t>40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97" w:rsidRPr="006B355E" w:rsidRDefault="00527597" w:rsidP="004C6670">
            <w:pPr>
              <w:spacing w:line="300" w:lineRule="exact"/>
              <w:jc w:val="center"/>
              <w:rPr>
                <w:b/>
                <w:bCs/>
                <w:sz w:val="22"/>
                <w:szCs w:val="16"/>
              </w:rPr>
            </w:pPr>
            <w:r w:rsidRPr="006B355E">
              <w:rPr>
                <w:b/>
                <w:bCs/>
                <w:sz w:val="22"/>
                <w:szCs w:val="16"/>
              </w:rPr>
              <w:t>292</w:t>
            </w:r>
          </w:p>
        </w:tc>
      </w:tr>
      <w:tr w:rsidR="00527597" w:rsidTr="004C6670">
        <w:trPr>
          <w:trHeight w:val="300"/>
        </w:trPr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97" w:rsidRDefault="00527597" w:rsidP="004C6670">
            <w:pPr>
              <w:spacing w:line="300" w:lineRule="exact"/>
              <w:rPr>
                <w:sz w:val="22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97" w:rsidRDefault="00527597" w:rsidP="004C6670">
            <w:pPr>
              <w:spacing w:line="300" w:lineRule="exac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z toho bez z</w:t>
            </w:r>
            <w:r>
              <w:rPr>
                <w:rFonts w:hint="eastAsia"/>
                <w:sz w:val="22"/>
                <w:szCs w:val="16"/>
              </w:rPr>
              <w:t>á</w:t>
            </w:r>
            <w:r>
              <w:rPr>
                <w:sz w:val="22"/>
                <w:szCs w:val="16"/>
              </w:rPr>
              <w:t>vad</w:t>
            </w:r>
          </w:p>
        </w:tc>
        <w:tc>
          <w:tcPr>
            <w:tcW w:w="12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597" w:rsidRPr="009700B0" w:rsidRDefault="00527597" w:rsidP="004C6670">
            <w:pPr>
              <w:spacing w:line="300" w:lineRule="exact"/>
              <w:jc w:val="center"/>
              <w:rPr>
                <w:bCs/>
                <w:sz w:val="22"/>
                <w:szCs w:val="16"/>
              </w:rPr>
            </w:pPr>
            <w:r w:rsidRPr="009700B0">
              <w:rPr>
                <w:bCs/>
                <w:sz w:val="22"/>
                <w:szCs w:val="16"/>
              </w:rPr>
              <w:t>55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:rsidR="00527597" w:rsidRPr="00D61AA2" w:rsidRDefault="00527597" w:rsidP="004C6670">
            <w:pPr>
              <w:spacing w:line="300" w:lineRule="exact"/>
              <w:jc w:val="center"/>
              <w:rPr>
                <w:bCs/>
                <w:sz w:val="22"/>
                <w:szCs w:val="16"/>
              </w:rPr>
            </w:pPr>
            <w:r w:rsidRPr="00D61AA2">
              <w:rPr>
                <w:bCs/>
                <w:sz w:val="22"/>
                <w:szCs w:val="16"/>
              </w:rPr>
              <w:t>11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:rsidR="00527597" w:rsidRPr="00D61AA2" w:rsidRDefault="00527597" w:rsidP="004C6670">
            <w:pPr>
              <w:spacing w:line="300" w:lineRule="exact"/>
              <w:jc w:val="center"/>
              <w:rPr>
                <w:bCs/>
                <w:sz w:val="22"/>
                <w:szCs w:val="16"/>
              </w:rPr>
            </w:pPr>
            <w:r w:rsidRPr="00D61AA2">
              <w:rPr>
                <w:bCs/>
                <w:sz w:val="22"/>
                <w:szCs w:val="16"/>
              </w:rPr>
              <w:t>1</w:t>
            </w:r>
          </w:p>
        </w:tc>
        <w:tc>
          <w:tcPr>
            <w:tcW w:w="12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7597" w:rsidRPr="00D61AA2" w:rsidRDefault="00527597" w:rsidP="004C6670">
            <w:pPr>
              <w:spacing w:line="300" w:lineRule="exact"/>
              <w:jc w:val="center"/>
              <w:rPr>
                <w:bCs/>
                <w:sz w:val="22"/>
                <w:szCs w:val="16"/>
              </w:rPr>
            </w:pPr>
            <w:r w:rsidRPr="00D61AA2">
              <w:rPr>
                <w:bCs/>
                <w:sz w:val="22"/>
                <w:szCs w:val="16"/>
              </w:rPr>
              <w:t>17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97" w:rsidRPr="006B355E" w:rsidRDefault="00527597" w:rsidP="004C6670">
            <w:pPr>
              <w:spacing w:line="300" w:lineRule="exact"/>
              <w:jc w:val="center"/>
              <w:rPr>
                <w:b/>
                <w:bCs/>
                <w:sz w:val="22"/>
                <w:szCs w:val="16"/>
              </w:rPr>
            </w:pPr>
            <w:r w:rsidRPr="006B355E">
              <w:rPr>
                <w:b/>
                <w:bCs/>
                <w:sz w:val="22"/>
                <w:szCs w:val="16"/>
              </w:rPr>
              <w:t>84</w:t>
            </w:r>
          </w:p>
        </w:tc>
      </w:tr>
      <w:tr w:rsidR="00527597" w:rsidRPr="002D1F29" w:rsidTr="004C6670">
        <w:trPr>
          <w:trHeight w:val="300"/>
        </w:trPr>
        <w:tc>
          <w:tcPr>
            <w:tcW w:w="28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97" w:rsidRPr="0002210A" w:rsidRDefault="00527597" w:rsidP="004C6670">
            <w:pPr>
              <w:spacing w:after="120"/>
              <w:rPr>
                <w:b/>
              </w:rPr>
            </w:pPr>
            <w:r w:rsidRPr="0002210A">
              <w:rPr>
                <w:b/>
              </w:rPr>
              <w:t>Celkov</w:t>
            </w:r>
            <w:r w:rsidRPr="0002210A">
              <w:rPr>
                <w:rFonts w:hint="eastAsia"/>
                <w:b/>
              </w:rPr>
              <w:t>ý</w:t>
            </w:r>
            <w:r w:rsidRPr="0002210A">
              <w:rPr>
                <w:b/>
              </w:rPr>
              <w:t xml:space="preserve"> po</w:t>
            </w:r>
            <w:r w:rsidRPr="0002210A">
              <w:rPr>
                <w:rFonts w:hint="eastAsia"/>
                <w:b/>
              </w:rPr>
              <w:t>č</w:t>
            </w:r>
            <w:r w:rsidRPr="0002210A">
              <w:rPr>
                <w:b/>
              </w:rPr>
              <w:t>et zji</w:t>
            </w:r>
            <w:r w:rsidRPr="0002210A">
              <w:rPr>
                <w:rFonts w:hint="eastAsia"/>
                <w:b/>
              </w:rPr>
              <w:t>š</w:t>
            </w:r>
            <w:r w:rsidRPr="0002210A">
              <w:rPr>
                <w:b/>
              </w:rPr>
              <w:t>t</w:t>
            </w:r>
            <w:r w:rsidRPr="0002210A">
              <w:rPr>
                <w:rFonts w:hint="eastAsia"/>
                <w:b/>
              </w:rPr>
              <w:t>ě</w:t>
            </w:r>
            <w:r w:rsidRPr="0002210A">
              <w:rPr>
                <w:b/>
              </w:rPr>
              <w:t>n</w:t>
            </w:r>
            <w:r w:rsidRPr="0002210A">
              <w:rPr>
                <w:rFonts w:hint="eastAsia"/>
                <w:b/>
              </w:rPr>
              <w:t>ý</w:t>
            </w:r>
            <w:r w:rsidRPr="0002210A">
              <w:rPr>
                <w:b/>
              </w:rPr>
              <w:t>ch z</w:t>
            </w:r>
            <w:r w:rsidRPr="0002210A">
              <w:rPr>
                <w:rFonts w:hint="eastAsia"/>
                <w:b/>
              </w:rPr>
              <w:t>á</w:t>
            </w:r>
            <w:r w:rsidRPr="0002210A">
              <w:rPr>
                <w:b/>
              </w:rPr>
              <w:t>vad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97" w:rsidRPr="009851D2" w:rsidRDefault="00527597" w:rsidP="004C6670">
            <w:pPr>
              <w:spacing w:after="120"/>
              <w:jc w:val="center"/>
              <w:rPr>
                <w:b/>
                <w:bCs/>
              </w:rPr>
            </w:pPr>
            <w:r w:rsidRPr="009851D2">
              <w:rPr>
                <w:b/>
                <w:bCs/>
              </w:rPr>
              <w:t>487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597" w:rsidRPr="009851D2" w:rsidRDefault="00527597" w:rsidP="004C6670">
            <w:pPr>
              <w:spacing w:after="120"/>
              <w:jc w:val="center"/>
              <w:rPr>
                <w:b/>
                <w:bCs/>
              </w:rPr>
            </w:pPr>
            <w:r w:rsidRPr="009851D2">
              <w:rPr>
                <w:b/>
                <w:bCs/>
              </w:rPr>
              <w:t>222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597" w:rsidRPr="009851D2" w:rsidRDefault="00527597" w:rsidP="004C6670">
            <w:pPr>
              <w:spacing w:after="120"/>
              <w:jc w:val="center"/>
              <w:rPr>
                <w:b/>
                <w:bCs/>
              </w:rPr>
            </w:pPr>
            <w:r w:rsidRPr="009851D2">
              <w:rPr>
                <w:b/>
                <w:bCs/>
              </w:rPr>
              <w:t>16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597" w:rsidRPr="009851D2" w:rsidRDefault="00527597" w:rsidP="004C6670">
            <w:pPr>
              <w:spacing w:after="120"/>
              <w:jc w:val="center"/>
              <w:rPr>
                <w:b/>
                <w:bCs/>
              </w:rPr>
            </w:pPr>
            <w:r w:rsidRPr="009851D2">
              <w:rPr>
                <w:b/>
                <w:bCs/>
              </w:rPr>
              <w:t>108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597" w:rsidRPr="009851D2" w:rsidRDefault="00527597" w:rsidP="004C6670">
            <w:pPr>
              <w:spacing w:after="120"/>
              <w:jc w:val="center"/>
              <w:rPr>
                <w:b/>
                <w:bCs/>
              </w:rPr>
            </w:pPr>
            <w:r w:rsidRPr="009851D2">
              <w:rPr>
                <w:b/>
                <w:bCs/>
              </w:rPr>
              <w:t>833</w:t>
            </w:r>
          </w:p>
        </w:tc>
      </w:tr>
    </w:tbl>
    <w:p w:rsidR="00527597" w:rsidRPr="002D1F29" w:rsidRDefault="00527597" w:rsidP="00527597">
      <w:pPr>
        <w:spacing w:after="120"/>
        <w:jc w:val="center"/>
      </w:pPr>
    </w:p>
    <w:p w:rsidR="00527597" w:rsidRPr="00200E14" w:rsidRDefault="00527597" w:rsidP="00527597">
      <w:pPr>
        <w:spacing w:after="120"/>
        <w:jc w:val="both"/>
        <w:rPr>
          <w:iCs/>
          <w:u w:val="single"/>
        </w:rPr>
      </w:pPr>
      <w:r w:rsidRPr="00200E14">
        <w:rPr>
          <w:iCs/>
          <w:u w:val="single"/>
        </w:rPr>
        <w:t>Vyhodnocení:</w:t>
      </w:r>
    </w:p>
    <w:p w:rsidR="00527597" w:rsidRPr="002D1F29" w:rsidRDefault="00527597" w:rsidP="00527597">
      <w:pPr>
        <w:spacing w:after="120"/>
        <w:jc w:val="both"/>
      </w:pPr>
      <w:r w:rsidRPr="002D1F29">
        <w:t>V průběhu kontrol byly zjištěny závady, ke kterým byla uložena opatření se lhůtami na odstranění závad. </w:t>
      </w:r>
    </w:p>
    <w:p w:rsidR="00527597" w:rsidRPr="00200E14" w:rsidRDefault="00527597" w:rsidP="00527597">
      <w:pPr>
        <w:spacing w:after="120"/>
        <w:jc w:val="both"/>
        <w:rPr>
          <w:u w:val="single"/>
        </w:rPr>
      </w:pPr>
      <w:r w:rsidRPr="00200E14">
        <w:rPr>
          <w:u w:val="single"/>
        </w:rPr>
        <w:t>Nejčastěji zjištěné nedostatky:</w:t>
      </w:r>
    </w:p>
    <w:p w:rsidR="00527597" w:rsidRPr="00200E14" w:rsidRDefault="00527597" w:rsidP="00527597">
      <w:pPr>
        <w:numPr>
          <w:ilvl w:val="0"/>
          <w:numId w:val="3"/>
        </w:numPr>
        <w:jc w:val="both"/>
      </w:pPr>
      <w:r w:rsidRPr="00200E14">
        <w:t xml:space="preserve">v dokumentaci o začlenění provozované činnosti do kategorie podle míry požárního nebezpečí, </w:t>
      </w:r>
    </w:p>
    <w:p w:rsidR="00527597" w:rsidRPr="00200E14" w:rsidRDefault="00527597" w:rsidP="00527597">
      <w:pPr>
        <w:numPr>
          <w:ilvl w:val="0"/>
          <w:numId w:val="3"/>
        </w:numPr>
        <w:jc w:val="both"/>
      </w:pPr>
      <w:r w:rsidRPr="00200E14">
        <w:t>dokumentace požární ochrany neodpovídá skutečnému stavu v době kontroly,</w:t>
      </w:r>
    </w:p>
    <w:p w:rsidR="00527597" w:rsidRPr="00200E14" w:rsidRDefault="00527597" w:rsidP="00527597">
      <w:pPr>
        <w:pStyle w:val="Zkladntextodsazen"/>
        <w:numPr>
          <w:ilvl w:val="0"/>
          <w:numId w:val="3"/>
        </w:numPr>
        <w:spacing w:after="0"/>
        <w:jc w:val="both"/>
      </w:pPr>
      <w:r w:rsidRPr="00200E14">
        <w:t>při prokazování provozuschopnosti instalovaných požárně bezpečnostních zařízení včetně vyhrazených,</w:t>
      </w:r>
    </w:p>
    <w:p w:rsidR="00527597" w:rsidRPr="00200E14" w:rsidRDefault="00527597" w:rsidP="00527597">
      <w:pPr>
        <w:pStyle w:val="Zkladntextodsazen"/>
        <w:numPr>
          <w:ilvl w:val="0"/>
          <w:numId w:val="3"/>
        </w:numPr>
        <w:spacing w:after="0"/>
        <w:jc w:val="both"/>
      </w:pPr>
      <w:r w:rsidRPr="00200E14">
        <w:t>nedostatečné nebo chybné označení únikových východů a směrů úniku osob,</w:t>
      </w:r>
    </w:p>
    <w:p w:rsidR="00527597" w:rsidRPr="00200E14" w:rsidRDefault="00527597" w:rsidP="00527597">
      <w:pPr>
        <w:numPr>
          <w:ilvl w:val="0"/>
          <w:numId w:val="3"/>
        </w:numPr>
        <w:jc w:val="both"/>
      </w:pPr>
      <w:r w:rsidRPr="00200E14">
        <w:t>nedodržování technických podmínek a návodů vztahujících se k požární bezpečnosti výrobků nebo činností.</w:t>
      </w:r>
    </w:p>
    <w:p w:rsidR="00527597" w:rsidRPr="00200E14" w:rsidRDefault="00527597" w:rsidP="00527597">
      <w:pPr>
        <w:numPr>
          <w:ilvl w:val="0"/>
          <w:numId w:val="3"/>
        </w:numPr>
        <w:jc w:val="both"/>
      </w:pPr>
      <w:r w:rsidRPr="00200E14">
        <w:t>nepředložení dokladů o revizi elektrického zařízení,</w:t>
      </w:r>
    </w:p>
    <w:p w:rsidR="00527597" w:rsidRPr="00200E14" w:rsidRDefault="00527597" w:rsidP="00527597">
      <w:pPr>
        <w:pStyle w:val="Zkladntextodsazen"/>
        <w:numPr>
          <w:ilvl w:val="0"/>
          <w:numId w:val="3"/>
        </w:numPr>
        <w:spacing w:after="0"/>
        <w:jc w:val="both"/>
      </w:pPr>
      <w:r w:rsidRPr="00200E14">
        <w:t>nesprávné umístění přenosných hasicích přístrojů a jejich nezajištění proti pádu,</w:t>
      </w:r>
    </w:p>
    <w:p w:rsidR="00527597" w:rsidRPr="00200E14" w:rsidRDefault="00527597" w:rsidP="00527597">
      <w:pPr>
        <w:pStyle w:val="Zkladntextodsazen"/>
        <w:numPr>
          <w:ilvl w:val="0"/>
          <w:numId w:val="3"/>
        </w:numPr>
        <w:spacing w:after="0"/>
        <w:jc w:val="both"/>
      </w:pPr>
      <w:r w:rsidRPr="00200E14">
        <w:t>neoznačení rozvodných zařízení a hlavního vypínače elektrické energie, uzávěrů vody,</w:t>
      </w:r>
    </w:p>
    <w:p w:rsidR="00527597" w:rsidRPr="00200E14" w:rsidRDefault="00527597" w:rsidP="00527597">
      <w:pPr>
        <w:pStyle w:val="Zkladntextodsazen"/>
        <w:numPr>
          <w:ilvl w:val="0"/>
          <w:numId w:val="3"/>
        </w:numPr>
        <w:spacing w:after="0"/>
        <w:jc w:val="both"/>
      </w:pPr>
      <w:r w:rsidRPr="00200E14">
        <w:t>neudržování volných únikových cest a užívání chráněných únikových cest způsobem zvyšujícím požární riziko.</w:t>
      </w:r>
    </w:p>
    <w:p w:rsidR="00527597" w:rsidRDefault="00527597" w:rsidP="00527597">
      <w:pPr>
        <w:pStyle w:val="Zkladntextodsazen"/>
        <w:ind w:left="0"/>
        <w:jc w:val="both"/>
      </w:pPr>
    </w:p>
    <w:p w:rsidR="00527597" w:rsidRDefault="00527597" w:rsidP="00527597">
      <w:pPr>
        <w:pStyle w:val="Zkladntextodsazen"/>
        <w:ind w:left="0" w:firstLine="360"/>
        <w:jc w:val="both"/>
      </w:pPr>
      <w:r w:rsidRPr="002D1F29">
        <w:t xml:space="preserve">Dále se příslušníci zúčastnili v rámci integrované prevence 5 požárních kontrol právních subjektů zařazených dle zákona č. 59/2006 Sb., o </w:t>
      </w:r>
      <w:r w:rsidRPr="00EA6A2C">
        <w:t>prevenci závažných havárií</w:t>
      </w:r>
      <w:r w:rsidRPr="002D1F29">
        <w:t xml:space="preserve">. Při těchto kontrolách na úseku požární ochrany bylo zjištěno, že nejsou </w:t>
      </w:r>
      <w:r w:rsidRPr="002D1F29">
        <w:rPr>
          <w:rStyle w:val="Text"/>
        </w:rPr>
        <w:t>dodržovány povinnosti stanovené předpisy o požární ochraně</w:t>
      </w:r>
      <w:r w:rsidRPr="002D1F29">
        <w:t>, jako např</w:t>
      </w:r>
      <w:r w:rsidRPr="002D1F29">
        <w:rPr>
          <w:rStyle w:val="Text"/>
        </w:rPr>
        <w:t xml:space="preserve">. obsahové chyby v dokumentaci požární ochrany, nepředložení dokladu provozuschopnosti </w:t>
      </w:r>
      <w:r w:rsidRPr="002D1F29">
        <w:t>požárně bezpečnostních zařízení</w:t>
      </w:r>
      <w:r w:rsidRPr="002D1F29">
        <w:rPr>
          <w:rStyle w:val="Text"/>
        </w:rPr>
        <w:t>.</w:t>
      </w:r>
    </w:p>
    <w:p w:rsidR="00527597" w:rsidRDefault="00527597" w:rsidP="00527597">
      <w:pPr>
        <w:pStyle w:val="Zkladntextodsazen"/>
        <w:ind w:left="0" w:firstLine="357"/>
        <w:jc w:val="both"/>
      </w:pPr>
      <w:r w:rsidRPr="002D1F29">
        <w:lastRenderedPageBreak/>
        <w:t xml:space="preserve">Na území Jihočeského kraje provozuje 11 právních </w:t>
      </w:r>
      <w:r w:rsidRPr="00EA6A2C">
        <w:t>subjektů s činností s vysokým požárním nebezpečím</w:t>
      </w:r>
      <w:r w:rsidRPr="002D1F29">
        <w:t xml:space="preserve">. V souvislosti s touto skutečností se HZS </w:t>
      </w:r>
      <w:proofErr w:type="spellStart"/>
      <w:r w:rsidRPr="002D1F29">
        <w:t>JčK</w:t>
      </w:r>
      <w:proofErr w:type="spellEnd"/>
      <w:r w:rsidRPr="002D1F29">
        <w:t xml:space="preserve"> prů</w:t>
      </w:r>
      <w:r>
        <w:t xml:space="preserve">běžně vyjadřoval k dokumentaci </w:t>
      </w:r>
      <w:r w:rsidRPr="002D1F29">
        <w:t>a ke změnám výše uvedené dokumentace. Celkem bylo předloženo 8 posouzení požárního nebezpečí, 6 posouzení požárního nebezpečí bylo schváleno a 2 posouzení požárního nebezpečí bylo vráceno k odstranění zjištěných nedostatků a doplnění předložených dokumentů. Mezi nejčastější důvody, pro které předložená PPN nebyla schválena, patřilo:</w:t>
      </w:r>
    </w:p>
    <w:p w:rsidR="00527597" w:rsidRPr="002D1F29" w:rsidRDefault="00527597" w:rsidP="00527597">
      <w:pPr>
        <w:numPr>
          <w:ilvl w:val="0"/>
          <w:numId w:val="5"/>
        </w:numPr>
        <w:ind w:left="714" w:hanging="357"/>
        <w:jc w:val="both"/>
      </w:pPr>
      <w:r w:rsidRPr="002D1F29">
        <w:t>v</w:t>
      </w:r>
      <w:r w:rsidRPr="002D1F29">
        <w:rPr>
          <w:rFonts w:hint="eastAsia"/>
        </w:rPr>
        <w:t>ě</w:t>
      </w:r>
      <w:r w:rsidRPr="002D1F29">
        <w:t xml:space="preserve">cná a formální správnost zpracované dokumentace, </w:t>
      </w:r>
    </w:p>
    <w:p w:rsidR="00527597" w:rsidRPr="002D1F29" w:rsidRDefault="00527597" w:rsidP="00527597">
      <w:pPr>
        <w:numPr>
          <w:ilvl w:val="0"/>
          <w:numId w:val="5"/>
        </w:numPr>
        <w:ind w:left="714" w:hanging="357"/>
        <w:jc w:val="both"/>
      </w:pPr>
      <w:r w:rsidRPr="002D1F29">
        <w:t>nedostatečné zhodnocení rozhodujících vliv</w:t>
      </w:r>
      <w:r w:rsidRPr="002D1F29">
        <w:rPr>
          <w:rFonts w:hint="eastAsia"/>
        </w:rPr>
        <w:t>ů</w:t>
      </w:r>
      <w:r w:rsidRPr="002D1F29">
        <w:t xml:space="preserve"> z hlediska možnosti vzniku a ší</w:t>
      </w:r>
      <w:r w:rsidRPr="002D1F29">
        <w:rPr>
          <w:rFonts w:hint="eastAsia"/>
        </w:rPr>
        <w:t>ř</w:t>
      </w:r>
      <w:r w:rsidRPr="002D1F29">
        <w:t xml:space="preserve">ení požáru, </w:t>
      </w:r>
    </w:p>
    <w:p w:rsidR="00527597" w:rsidRPr="002D1F29" w:rsidRDefault="00527597" w:rsidP="00527597">
      <w:pPr>
        <w:numPr>
          <w:ilvl w:val="0"/>
          <w:numId w:val="5"/>
        </w:numPr>
        <w:ind w:left="714" w:hanging="357"/>
        <w:jc w:val="both"/>
      </w:pPr>
      <w:r w:rsidRPr="002D1F29">
        <w:t>členění a obsah navržených opat</w:t>
      </w:r>
      <w:r w:rsidRPr="002D1F29">
        <w:rPr>
          <w:rFonts w:hint="eastAsia"/>
        </w:rPr>
        <w:t>ř</w:t>
      </w:r>
      <w:r w:rsidRPr="002D1F29">
        <w:t xml:space="preserve">ení nedopovídají </w:t>
      </w:r>
      <w:r w:rsidRPr="001C3AA5">
        <w:t>skutečnostem,</w:t>
      </w:r>
      <w:r w:rsidRPr="002D1F29">
        <w:t xml:space="preserve"> které </w:t>
      </w:r>
      <w:r>
        <w:t xml:space="preserve">jsou </w:t>
      </w:r>
      <w:r w:rsidRPr="002D1F29">
        <w:t>uvedeny v textu PPN.</w:t>
      </w:r>
    </w:p>
    <w:p w:rsidR="00527597" w:rsidRPr="002D1F29" w:rsidRDefault="00527597" w:rsidP="00527597">
      <w:pPr>
        <w:pStyle w:val="Zkladntextodsazen"/>
        <w:ind w:left="0"/>
        <w:jc w:val="both"/>
      </w:pPr>
    </w:p>
    <w:p w:rsidR="00527597" w:rsidRPr="00DE48F6" w:rsidRDefault="00527597" w:rsidP="00527597">
      <w:pPr>
        <w:pStyle w:val="Zkladntextodsazen"/>
        <w:ind w:left="0"/>
        <w:jc w:val="both"/>
        <w:rPr>
          <w:i/>
        </w:rPr>
      </w:pPr>
      <w:r w:rsidRPr="00DE48F6">
        <w:rPr>
          <w:i/>
        </w:rPr>
        <w:t>V rámci kontrolního úkolu č. 3 /2008:</w:t>
      </w:r>
    </w:p>
    <w:p w:rsidR="00527597" w:rsidRPr="002D1F29" w:rsidRDefault="00527597" w:rsidP="00527597">
      <w:pPr>
        <w:numPr>
          <w:ilvl w:val="0"/>
          <w:numId w:val="1"/>
        </w:numPr>
        <w:spacing w:after="120"/>
        <w:ind w:left="0" w:firstLine="0"/>
        <w:jc w:val="both"/>
      </w:pPr>
      <w:r w:rsidRPr="002D1F29">
        <w:t>byly vyrozuměny právní subjekty na příslušném území okresu, pro které vyplývá povinnost zpracovat DZP ze zákona o PO v návaznosti na vyhlášku o požární prevenci, jejichž DZP je uložena na KOPIS/SOPIS a nebyla u nich provedena tematická požární kontrola,</w:t>
      </w:r>
    </w:p>
    <w:p w:rsidR="00527597" w:rsidRDefault="00527597" w:rsidP="00527597">
      <w:pPr>
        <w:numPr>
          <w:ilvl w:val="0"/>
          <w:numId w:val="1"/>
        </w:numPr>
        <w:spacing w:after="120"/>
        <w:ind w:left="0" w:firstLine="0"/>
        <w:jc w:val="both"/>
      </w:pPr>
      <w:r w:rsidRPr="002D1F29">
        <w:t xml:space="preserve">byla vrácena DZP uložená na KOPIS/SOPIS pro příslušné území okresu těm právním subjektům, </w:t>
      </w:r>
      <w:r w:rsidRPr="00A347ED">
        <w:t>které</w:t>
      </w:r>
      <w:r w:rsidRPr="002D1F29">
        <w:t xml:space="preserve"> mají DZP zpracova</w:t>
      </w:r>
      <w:r>
        <w:t>nou dle dříve platné legislativ</w:t>
      </w:r>
      <w:r w:rsidRPr="002D1F29">
        <w:t>a</w:t>
      </w:r>
      <w:r w:rsidR="00F106C2">
        <w:t>,</w:t>
      </w:r>
      <w:r w:rsidRPr="002D1F29">
        <w:t xml:space="preserve"> nebyla u nich provedena tematická požární kontrola. </w:t>
      </w:r>
    </w:p>
    <w:p w:rsidR="00527597" w:rsidRDefault="00527597" w:rsidP="00527597">
      <w:pPr>
        <w:spacing w:after="120"/>
        <w:ind w:firstLine="357"/>
        <w:jc w:val="both"/>
      </w:pPr>
    </w:p>
    <w:p w:rsidR="00527597" w:rsidRPr="00153905" w:rsidRDefault="00527597" w:rsidP="00527597">
      <w:pPr>
        <w:spacing w:after="120"/>
        <w:ind w:firstLine="357"/>
        <w:jc w:val="both"/>
      </w:pPr>
      <w:r w:rsidRPr="00153905">
        <w:t>V roce 2009 se uskutečnila jednání zástupců HZS Jihočeského kraje a Národního parku Šumava ke správnosti začlenění provozovaných činností v NP Šumava. Při jednání bylo zástupci NP Šumava dokladováno, že zejména lesy I., II. a bezzásahové zóny v NP Šumava nesou znaky podmínek, ve srovnání s ostatními lesy na území ČR, které nejsou běžné z hlediska možného rozvoje požáru a podmínek pro zásah jednotek požární ochrany vlivem uplatňovaného managementu lesních ekosystémů, a proto tyto porosty jsou začleněny do kategorie se zvýšeným požárním nebezpečím dle § 4 odst. 1 písm. b</w:t>
      </w:r>
      <w:r w:rsidR="00F106C2">
        <w:t xml:space="preserve">) zákona č. 133/85 Sb., </w:t>
      </w:r>
      <w:r>
        <w:t xml:space="preserve">o </w:t>
      </w:r>
      <w:r w:rsidRPr="00153905">
        <w:t>požární ochraně, ve znění pozdějších předpisů.  V kategorii se zvýšeným požární</w:t>
      </w:r>
      <w:r>
        <w:t>m</w:t>
      </w:r>
      <w:r w:rsidRPr="00153905">
        <w:t xml:space="preserve"> nebezpečím jsou začleněny i další činnosti, zejména skladování a manipulace s hořlavými kapalinami a ve stavbách ubytovacích zařízení. </w:t>
      </w:r>
    </w:p>
    <w:p w:rsidR="00527597" w:rsidRPr="00153905" w:rsidRDefault="00527597" w:rsidP="00527597">
      <w:pPr>
        <w:spacing w:after="120"/>
        <w:ind w:firstLine="357"/>
        <w:jc w:val="both"/>
      </w:pPr>
      <w:r w:rsidRPr="00153905">
        <w:t xml:space="preserve">Ke zkvalitnění zabezpečení požární ochrany v Národním parku Šumava jsou navržena opatření, z nichž nejvýznamnější je ustanovení jednotky sboru dobrovolných hasičů podniku. Rozhodnutí na ustanovení této jednotky vydal HZS </w:t>
      </w:r>
      <w:proofErr w:type="spellStart"/>
      <w:r w:rsidRPr="00153905">
        <w:t>JčK</w:t>
      </w:r>
      <w:proofErr w:type="spellEnd"/>
      <w:r w:rsidRPr="00153905">
        <w:t xml:space="preserve"> s termínem zahájení její činnosti k 1.</w:t>
      </w:r>
      <w:r>
        <w:t xml:space="preserve"> 7</w:t>
      </w:r>
      <w:r w:rsidRPr="00153905">
        <w:t>.</w:t>
      </w:r>
      <w:r>
        <w:t xml:space="preserve"> </w:t>
      </w:r>
      <w:r w:rsidRPr="00153905">
        <w:t>2011. Dalšími navrženým</w:t>
      </w:r>
      <w:r>
        <w:t>i</w:t>
      </w:r>
      <w:r w:rsidRPr="00153905">
        <w:t xml:space="preserve"> opatřeními jsou zvyšování odborné úrovně zaměstnanců Národního parku Šumava v terénu, zejména ke způsobu včasného ohlášení p</w:t>
      </w:r>
      <w:r>
        <w:t>ožárů, poskytování první pomoci</w:t>
      </w:r>
      <w:r w:rsidRPr="00153905">
        <w:t>; zvyšování právního vědomí návštěvníků Národním parku Šumava formou preven</w:t>
      </w:r>
      <w:r>
        <w:t>tivně výchovné činnosti; udržování</w:t>
      </w:r>
      <w:r w:rsidRPr="00153905">
        <w:t xml:space="preserve"> stávající</w:t>
      </w:r>
      <w:r>
        <w:t>ch zdrojů</w:t>
      </w:r>
      <w:r w:rsidRPr="00153905">
        <w:t xml:space="preserve"> požární vody v použitelném stavu, příp. obnov</w:t>
      </w:r>
      <w:r>
        <w:t>ení</w:t>
      </w:r>
      <w:r w:rsidRPr="00153905">
        <w:t xml:space="preserve"> někter</w:t>
      </w:r>
      <w:r>
        <w:t>ých</w:t>
      </w:r>
      <w:r w:rsidRPr="00153905">
        <w:t xml:space="preserve"> původní</w:t>
      </w:r>
      <w:r>
        <w:t>ch</w:t>
      </w:r>
      <w:r w:rsidRPr="00153905">
        <w:t xml:space="preserve"> nádrž</w:t>
      </w:r>
      <w:r>
        <w:t>í,</w:t>
      </w:r>
      <w:r w:rsidRPr="00153905">
        <w:t xml:space="preserve"> a trval</w:t>
      </w:r>
      <w:r>
        <w:t>é udržování sítí</w:t>
      </w:r>
      <w:r w:rsidRPr="00153905">
        <w:t xml:space="preserve"> cest pro příjezd požární techniky</w:t>
      </w:r>
      <w:r>
        <w:t xml:space="preserve"> v použitelném stavu</w:t>
      </w:r>
      <w:r w:rsidRPr="00153905">
        <w:t xml:space="preserve">. HZS </w:t>
      </w:r>
      <w:proofErr w:type="spellStart"/>
      <w:r w:rsidRPr="00153905">
        <w:t>JčK</w:t>
      </w:r>
      <w:proofErr w:type="spellEnd"/>
      <w:r w:rsidRPr="00153905">
        <w:t xml:space="preserve"> uzavřel s Národním parkem Šumava písemnou smlouvu o plánované pomoci n</w:t>
      </w:r>
      <w:bookmarkStart w:id="1" w:name="_GoBack"/>
      <w:bookmarkEnd w:id="1"/>
      <w:r w:rsidRPr="00153905">
        <w:t>a vyžádání, čímž se Národní park Šumava stal ostatní složkou IZS.</w:t>
      </w:r>
    </w:p>
    <w:p w:rsidR="00527597" w:rsidRPr="002D1F29" w:rsidRDefault="00527597" w:rsidP="00527597">
      <w:pPr>
        <w:pStyle w:val="Zkladntextodsazen"/>
        <w:ind w:left="0" w:firstLine="708"/>
        <w:jc w:val="both"/>
      </w:pPr>
      <w:r w:rsidRPr="002D1F29">
        <w:t xml:space="preserve">Dále byly poskytovány </w:t>
      </w:r>
      <w:r w:rsidRPr="00EA6A2C">
        <w:t>odborné konzultace</w:t>
      </w:r>
      <w:r w:rsidRPr="002D1F29">
        <w:t xml:space="preserve"> pro občany, právní subjekty a odbornou veřejnost (osoby s odbornou způsobilostí) a byly samostatně nebo ve spolupráci s jinými orgány státní správy řešeny podněty se zaměřením na oblast dodržování povinností stanovených předpisy o požární ochraně.</w:t>
      </w:r>
    </w:p>
    <w:p w:rsidR="00704161" w:rsidRDefault="00704161"/>
    <w:sectPr w:rsidR="0070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62F"/>
    <w:multiLevelType w:val="hybridMultilevel"/>
    <w:tmpl w:val="0D889D0A"/>
    <w:lvl w:ilvl="0" w:tplc="E3B4FA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2A085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4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D36D3"/>
    <w:multiLevelType w:val="hybridMultilevel"/>
    <w:tmpl w:val="1AE6411A"/>
    <w:lvl w:ilvl="0" w:tplc="C8167F74"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0770A"/>
    <w:multiLevelType w:val="multilevel"/>
    <w:tmpl w:val="48E4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D562E45"/>
    <w:multiLevelType w:val="hybridMultilevel"/>
    <w:tmpl w:val="71008D54"/>
    <w:lvl w:ilvl="0" w:tplc="C8167F74"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083E97"/>
    <w:multiLevelType w:val="hybridMultilevel"/>
    <w:tmpl w:val="ADFAE10E"/>
    <w:lvl w:ilvl="0" w:tplc="C8167F74"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91592"/>
    <w:multiLevelType w:val="hybridMultilevel"/>
    <w:tmpl w:val="EFB6D406"/>
    <w:lvl w:ilvl="0" w:tplc="8B1658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97"/>
    <w:rsid w:val="00527597"/>
    <w:rsid w:val="00704161"/>
    <w:rsid w:val="00F1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08DB3-C8F4-43FB-8544-28203D61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27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2759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eznam2">
    <w:name w:val="List 2"/>
    <w:basedOn w:val="Normln"/>
    <w:rsid w:val="00527597"/>
    <w:pPr>
      <w:ind w:left="566" w:hanging="283"/>
    </w:pPr>
  </w:style>
  <w:style w:type="paragraph" w:styleId="Zkladntextodsazen">
    <w:name w:val="Body Text Indent"/>
    <w:basedOn w:val="Normln"/>
    <w:link w:val="ZkladntextodsazenChar"/>
    <w:rsid w:val="0052759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5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52759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275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275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275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">
    <w:name w:val="Text"/>
    <w:rsid w:val="0052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Matějů Vendula</dc:creator>
  <cp:keywords/>
  <dc:description/>
  <cp:lastModifiedBy>Matějů Vendula</cp:lastModifiedBy>
  <cp:revision>2</cp:revision>
  <dcterms:created xsi:type="dcterms:W3CDTF">2014-10-03T11:00:00Z</dcterms:created>
  <dcterms:modified xsi:type="dcterms:W3CDTF">2014-10-07T12:23:00Z</dcterms:modified>
</cp:coreProperties>
</file>