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F" w:rsidRPr="000A7C2A" w:rsidRDefault="000A7C2A" w:rsidP="000A7C2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ANALÝZA</w:t>
      </w:r>
      <w:r w:rsidRPr="000A7C2A">
        <w:rPr>
          <w:b/>
          <w:sz w:val="28"/>
          <w:szCs w:val="28"/>
        </w:rPr>
        <w:t xml:space="preserve"> </w:t>
      </w:r>
      <w:r w:rsidR="00175841">
        <w:rPr>
          <w:b/>
          <w:sz w:val="28"/>
          <w:szCs w:val="28"/>
        </w:rPr>
        <w:t>RIZIK</w:t>
      </w:r>
      <w:r w:rsidR="00175841" w:rsidRPr="000A7C2A">
        <w:rPr>
          <w:b/>
          <w:sz w:val="28"/>
          <w:szCs w:val="28"/>
        </w:rPr>
        <w:t xml:space="preserve"> </w:t>
      </w:r>
      <w:r w:rsidRPr="000A7C2A">
        <w:rPr>
          <w:b/>
          <w:sz w:val="28"/>
          <w:szCs w:val="28"/>
        </w:rPr>
        <w:t xml:space="preserve">PRO ÚROVEŇ KRAJŮ </w:t>
      </w:r>
      <w:r w:rsidR="00A56660">
        <w:rPr>
          <w:b/>
          <w:sz w:val="28"/>
          <w:szCs w:val="28"/>
        </w:rPr>
        <w:br/>
      </w:r>
      <w:r w:rsidRPr="000A7C2A">
        <w:rPr>
          <w:b/>
          <w:sz w:val="28"/>
          <w:szCs w:val="28"/>
        </w:rPr>
        <w:t>A OBCÍ S ROZŠÍŘENOU PŮSOBNOSTÍ</w:t>
      </w:r>
    </w:p>
    <w:p w:rsidR="000A7C2A" w:rsidRDefault="000A7C2A" w:rsidP="000A7C2A">
      <w:pPr>
        <w:ind w:firstLine="0"/>
        <w:jc w:val="center"/>
        <w:rPr>
          <w:b/>
          <w:i/>
          <w:sz w:val="28"/>
          <w:szCs w:val="28"/>
        </w:rPr>
      </w:pPr>
      <w:r w:rsidRPr="000A7C2A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ávrh</w:t>
      </w:r>
      <w:r w:rsidRPr="000A7C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metodického </w:t>
      </w:r>
      <w:r w:rsidRPr="000A7C2A">
        <w:rPr>
          <w:b/>
          <w:i/>
          <w:sz w:val="28"/>
          <w:szCs w:val="28"/>
        </w:rPr>
        <w:t>postupu</w:t>
      </w:r>
      <w:r w:rsidR="002B5083">
        <w:rPr>
          <w:b/>
          <w:i/>
          <w:sz w:val="28"/>
          <w:szCs w:val="28"/>
        </w:rPr>
        <w:t xml:space="preserve"> – „Metodický postup ANALÝZA“</w:t>
      </w:r>
    </w:p>
    <w:p w:rsidR="001542BC" w:rsidRDefault="001542BC" w:rsidP="000A7C2A">
      <w:pPr>
        <w:ind w:firstLine="0"/>
        <w:jc w:val="center"/>
        <w:rPr>
          <w:b/>
          <w:i/>
          <w:sz w:val="28"/>
          <w:szCs w:val="28"/>
        </w:rPr>
      </w:pPr>
    </w:p>
    <w:p w:rsidR="00A75486" w:rsidRDefault="00875D9F" w:rsidP="007F3578">
      <w:r>
        <w:t>Předložený návrh vychází</w:t>
      </w:r>
      <w:r w:rsidR="007F3578">
        <w:t xml:space="preserve"> z postupu k provedení </w:t>
      </w:r>
      <w:r w:rsidR="00A75486">
        <w:t>analýzy hrozeb uplatněn</w:t>
      </w:r>
      <w:r w:rsidR="00243683">
        <w:t xml:space="preserve">ého v rámci celostátní analýzy a blíže </w:t>
      </w:r>
      <w:r w:rsidR="00A75486">
        <w:t xml:space="preserve">vymezeného v </w:t>
      </w:r>
      <w:r w:rsidR="007F3578">
        <w:t>závěrečné zprávě</w:t>
      </w:r>
      <w:r>
        <w:t xml:space="preserve"> </w:t>
      </w:r>
      <w:r w:rsidR="007F3578">
        <w:t xml:space="preserve">pracovní skupiny ustanovené pro realizaci úkolu č. 3 </w:t>
      </w:r>
      <w:r w:rsidR="00D26DE9">
        <w:t>(dále jen „pracovní skupina“</w:t>
      </w:r>
      <w:r w:rsidR="002D0EAB">
        <w:t xml:space="preserve">) </w:t>
      </w:r>
      <w:r w:rsidR="007F3578">
        <w:t>Koncepce ochrany obyvatelstva do roku 2020 s výhledem do roku 2030</w:t>
      </w:r>
      <w:r w:rsidR="004E15FE">
        <w:t xml:space="preserve"> (dále jen „Koncepce ochrany obyvatelstva“)</w:t>
      </w:r>
      <w:r w:rsidR="007F3578">
        <w:t xml:space="preserve">. </w:t>
      </w:r>
    </w:p>
    <w:p w:rsidR="00F61573" w:rsidRDefault="007F3578" w:rsidP="007F3578">
      <w:r>
        <w:t xml:space="preserve">Záměrem předloženého </w:t>
      </w:r>
      <w:r w:rsidR="00A75486">
        <w:t>dokumentu</w:t>
      </w:r>
      <w:r>
        <w:t xml:space="preserve"> </w:t>
      </w:r>
      <w:r w:rsidR="00F61573">
        <w:t xml:space="preserve">je </w:t>
      </w:r>
      <w:r w:rsidR="00A75486">
        <w:t xml:space="preserve">aplikovat </w:t>
      </w:r>
      <w:r w:rsidR="00F61573">
        <w:t>po</w:t>
      </w:r>
      <w:r>
        <w:t>stup</w:t>
      </w:r>
      <w:r w:rsidR="00A75486">
        <w:t>y</w:t>
      </w:r>
      <w:r w:rsidR="00F61573">
        <w:t xml:space="preserve"> uplatněné</w:t>
      </w:r>
      <w:r>
        <w:t xml:space="preserve"> v rámci celostátní analýzy </w:t>
      </w:r>
      <w:r w:rsidR="00F61573">
        <w:t>do regionálních podmínek</w:t>
      </w:r>
      <w:r w:rsidR="00A75486">
        <w:t xml:space="preserve"> a </w:t>
      </w:r>
      <w:r w:rsidR="00F709D0">
        <w:t>podpořit tak jednotný přístup k provádění analytických činno</w:t>
      </w:r>
      <w:r w:rsidR="002D0EAB">
        <w:t>stí v souvislosti s havarijním a</w:t>
      </w:r>
      <w:r w:rsidR="00F709D0">
        <w:t xml:space="preserve"> krizovým</w:t>
      </w:r>
      <w:r w:rsidR="00F61573">
        <w:t xml:space="preserve"> plánování</w:t>
      </w:r>
      <w:r w:rsidR="00F709D0">
        <w:t>m</w:t>
      </w:r>
      <w:r w:rsidR="00F61573">
        <w:t xml:space="preserve">. </w:t>
      </w:r>
    </w:p>
    <w:p w:rsidR="00A56660" w:rsidRDefault="0050159D" w:rsidP="00A56660">
      <w:r>
        <w:t xml:space="preserve">Navržený metodický postup </w:t>
      </w:r>
      <w:r w:rsidR="002B5083">
        <w:t>(„M</w:t>
      </w:r>
      <w:r w:rsidR="00F14CD2">
        <w:t xml:space="preserve">etodický postup </w:t>
      </w:r>
      <w:r w:rsidR="002B5083">
        <w:t xml:space="preserve">ANALÝZA“) </w:t>
      </w:r>
      <w:r>
        <w:t xml:space="preserve">je </w:t>
      </w:r>
      <w:r w:rsidR="00A56660">
        <w:t xml:space="preserve">zacílen na proces posouzení rizik zahrnující identifikaci nebezpečí, analýzu rizik a hodnocení rizik. </w:t>
      </w:r>
      <w:r>
        <w:t xml:space="preserve">Současně je </w:t>
      </w:r>
      <w:r w:rsidR="004E15FE">
        <w:t>předmětem zájmu také určení úrovně</w:t>
      </w:r>
      <w:r>
        <w:t xml:space="preserve"> rizika působení těchto nežádoucích jevů.</w:t>
      </w:r>
    </w:p>
    <w:p w:rsidR="00A56660" w:rsidRDefault="00A56660" w:rsidP="00A56660">
      <w:r>
        <w:t>Otázka ošetření rizik, do které spadá především zapracování výstupů analytických činností do plánovací dokumentace daného územního celku, není předmětem tohoto metodického postupu. Ošetření rizik bude upraveno samostatným metodickým dokumentem</w:t>
      </w:r>
      <w:r w:rsidR="002B5083">
        <w:t xml:space="preserve"> („Metodický postup PLÁNOVÁNÍ“)</w:t>
      </w:r>
      <w:r>
        <w:t xml:space="preserve">, který </w:t>
      </w:r>
      <w:r w:rsidR="004E15FE">
        <w:t xml:space="preserve">bude výstupem činnosti pracovní skupiny ustanovené pro naplňování úkolu č. 8 Koncepce ochrany obyvatelstva a </w:t>
      </w:r>
      <w:r>
        <w:t xml:space="preserve">bude </w:t>
      </w:r>
      <w:r w:rsidR="004E15FE">
        <w:t xml:space="preserve">již </w:t>
      </w:r>
      <w:r>
        <w:t xml:space="preserve">respektovat nové </w:t>
      </w:r>
      <w:r w:rsidR="004E15FE">
        <w:t>přístupy k</w:t>
      </w:r>
      <w:r>
        <w:t xml:space="preserve"> příprav</w:t>
      </w:r>
      <w:r w:rsidR="004E15FE">
        <w:t>ě</w:t>
      </w:r>
      <w:r>
        <w:t xml:space="preserve"> na řešení mimořádných událostí a krizových situací a </w:t>
      </w:r>
      <w:r w:rsidR="004E15FE">
        <w:t xml:space="preserve">ke </w:t>
      </w:r>
      <w:r>
        <w:t xml:space="preserve">zpracování příslušné plánovací dokumentace. </w:t>
      </w:r>
    </w:p>
    <w:p w:rsidR="00243683" w:rsidRDefault="007531D7" w:rsidP="009F546E">
      <w:r>
        <w:t xml:space="preserve">Návrh </w:t>
      </w:r>
      <w:r w:rsidR="00243683">
        <w:t xml:space="preserve">metodického postupu </w:t>
      </w:r>
      <w:r>
        <w:t xml:space="preserve">analýzy </w:t>
      </w:r>
      <w:r w:rsidR="00175841">
        <w:t xml:space="preserve">rizik </w:t>
      </w:r>
      <w:r>
        <w:t>pro úroveň krajů a obcí s rozšířenou působností</w:t>
      </w:r>
      <w:r w:rsidR="00166017">
        <w:t xml:space="preserve"> (dále jen „návrh metodického postupu ANALÝZA“)</w:t>
      </w:r>
      <w:r>
        <w:t xml:space="preserve"> </w:t>
      </w:r>
      <w:r w:rsidR="00243683">
        <w:t>zahrnuje realizaci tzv. klíčových a průřezových aktivit:</w:t>
      </w:r>
    </w:p>
    <w:p w:rsidR="009F546E" w:rsidRDefault="009F546E" w:rsidP="009F546E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Klíčové aktivity</w:t>
      </w:r>
      <w:r w:rsidR="00AE5333">
        <w:t xml:space="preserve"> </w:t>
      </w:r>
    </w:p>
    <w:p w:rsidR="009F546E" w:rsidRDefault="009F546E" w:rsidP="009F546E">
      <w:pPr>
        <w:pStyle w:val="Odstavecseseznamem"/>
        <w:numPr>
          <w:ilvl w:val="1"/>
          <w:numId w:val="2"/>
        </w:numPr>
        <w:ind w:left="924" w:hanging="357"/>
        <w:contextualSpacing w:val="0"/>
      </w:pPr>
      <w:r>
        <w:t>stanovení záměru;</w:t>
      </w:r>
    </w:p>
    <w:p w:rsidR="009F546E" w:rsidRDefault="009F546E" w:rsidP="009F546E">
      <w:pPr>
        <w:pStyle w:val="Odstavecseseznamem"/>
        <w:numPr>
          <w:ilvl w:val="1"/>
          <w:numId w:val="2"/>
        </w:numPr>
        <w:ind w:left="924" w:hanging="357"/>
        <w:contextualSpacing w:val="0"/>
      </w:pPr>
      <w:r>
        <w:t>posouzení rizik (zahrnuje identifikaci jednotlivých typů nebezpečí; analýzu rizik; hodnoce</w:t>
      </w:r>
      <w:r w:rsidR="00A56660">
        <w:t>ní rizik).</w:t>
      </w:r>
    </w:p>
    <w:p w:rsidR="009F546E" w:rsidRDefault="009F546E" w:rsidP="009F546E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Průřezové aktivity</w:t>
      </w:r>
    </w:p>
    <w:p w:rsidR="009F546E" w:rsidRDefault="009F546E" w:rsidP="009F546E">
      <w:pPr>
        <w:pStyle w:val="Odstavecseseznamem"/>
        <w:numPr>
          <w:ilvl w:val="1"/>
          <w:numId w:val="1"/>
        </w:numPr>
        <w:ind w:left="924" w:hanging="357"/>
        <w:contextualSpacing w:val="0"/>
      </w:pPr>
      <w:r>
        <w:t>komunikace a konzultace;</w:t>
      </w:r>
    </w:p>
    <w:p w:rsidR="009F546E" w:rsidRDefault="009F546E" w:rsidP="00DF7AAD">
      <w:pPr>
        <w:pStyle w:val="Odstavecseseznamem"/>
        <w:numPr>
          <w:ilvl w:val="1"/>
          <w:numId w:val="1"/>
        </w:numPr>
        <w:spacing w:after="120"/>
        <w:ind w:left="924" w:hanging="357"/>
        <w:contextualSpacing w:val="0"/>
      </w:pPr>
      <w:r>
        <w:t>monitorování a přezkoumávání.</w:t>
      </w:r>
    </w:p>
    <w:p w:rsidR="00D26DE9" w:rsidRDefault="00D26DE9" w:rsidP="009F546E"/>
    <w:p w:rsidR="00243683" w:rsidRDefault="00243683" w:rsidP="009F546E">
      <w:r>
        <w:t>Klíčové aktivity jsou uspořádány v chronologické posloupnosti</w:t>
      </w:r>
      <w:r w:rsidR="00DF7AAD">
        <w:t xml:space="preserve"> a představují základní rámec </w:t>
      </w:r>
      <w:r w:rsidR="00AF0DB4">
        <w:t xml:space="preserve">jednotlivých kroků </w:t>
      </w:r>
      <w:r w:rsidR="00DF7AAD">
        <w:t>metodického postupu</w:t>
      </w:r>
      <w:r>
        <w:t xml:space="preserve">. Průřezové aktivity </w:t>
      </w:r>
      <w:r w:rsidR="00F501CF">
        <w:t xml:space="preserve">jsou realizovány kontinuálně, tj. v průběhu celého postupu analýzy </w:t>
      </w:r>
      <w:r w:rsidR="00175841">
        <w:t>rizik</w:t>
      </w:r>
      <w:r w:rsidR="00F501CF">
        <w:t xml:space="preserve">. </w:t>
      </w:r>
    </w:p>
    <w:p w:rsidR="009F546E" w:rsidRDefault="00F501CF" w:rsidP="009F546E">
      <w:r>
        <w:t xml:space="preserve">Navržený metodický postup je </w:t>
      </w:r>
      <w:r w:rsidR="009F546E">
        <w:t>graficky znázorněn v obrázku.</w:t>
      </w: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7C7918" w:rsidRDefault="007C7918" w:rsidP="009F546E">
      <w:pPr>
        <w:autoSpaceDE w:val="0"/>
        <w:autoSpaceDN w:val="0"/>
        <w:adjustRightInd w:val="0"/>
        <w:spacing w:before="120"/>
        <w:ind w:firstLine="0"/>
        <w:rPr>
          <w:b/>
        </w:rPr>
      </w:pPr>
    </w:p>
    <w:p w:rsidR="009F546E" w:rsidRDefault="009F546E" w:rsidP="009F546E">
      <w:pPr>
        <w:autoSpaceDE w:val="0"/>
        <w:autoSpaceDN w:val="0"/>
        <w:adjustRightInd w:val="0"/>
        <w:spacing w:before="120"/>
        <w:ind w:firstLine="0"/>
        <w:rPr>
          <w:i/>
        </w:rPr>
      </w:pPr>
      <w:r w:rsidRPr="00B22282">
        <w:rPr>
          <w:b/>
        </w:rPr>
        <w:lastRenderedPageBreak/>
        <w:t xml:space="preserve">Obrázek </w:t>
      </w:r>
      <w:r w:rsidR="0052065D" w:rsidRPr="0052065D">
        <w:rPr>
          <w:i/>
        </w:rPr>
        <w:t>Komplexní</w:t>
      </w:r>
      <w:r w:rsidR="0052065D">
        <w:t xml:space="preserve"> z</w:t>
      </w:r>
      <w:r w:rsidRPr="00B22282">
        <w:rPr>
          <w:i/>
        </w:rPr>
        <w:t>názornění zvoleného postupu řešení</w:t>
      </w:r>
      <w:r>
        <w:rPr>
          <w:i/>
        </w:rPr>
        <w:t xml:space="preserve"> úkolu</w:t>
      </w:r>
    </w:p>
    <w:p w:rsidR="009F546E" w:rsidRDefault="007C7918" w:rsidP="007C7918">
      <w:pPr>
        <w:autoSpaceDE w:val="0"/>
        <w:autoSpaceDN w:val="0"/>
        <w:adjustRightInd w:val="0"/>
        <w:spacing w:after="0"/>
        <w:ind w:firstLine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36733" cy="2435784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4994" t="16490" r="28844" b="40365"/>
                    <a:stretch/>
                  </pic:blipFill>
                  <pic:spPr bwMode="auto">
                    <a:xfrm>
                      <a:off x="0" y="0"/>
                      <a:ext cx="5643252" cy="243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46E" w:rsidRDefault="009F546E" w:rsidP="009F546E">
      <w:pPr>
        <w:tabs>
          <w:tab w:val="left" w:pos="403"/>
        </w:tabs>
        <w:autoSpaceDE w:val="0"/>
        <w:autoSpaceDN w:val="0"/>
        <w:adjustRightInd w:val="0"/>
        <w:spacing w:before="120"/>
        <w:ind w:firstLine="0"/>
      </w:pPr>
      <w:r>
        <w:tab/>
      </w:r>
    </w:p>
    <w:p w:rsidR="009F546E" w:rsidRPr="00A9629E" w:rsidRDefault="004D4F4C" w:rsidP="009F546E">
      <w:pPr>
        <w:ind w:firstLine="0"/>
        <w:rPr>
          <w:sz w:val="20"/>
          <w:szCs w:val="20"/>
        </w:rPr>
      </w:pPr>
      <w:r>
        <w:rPr>
          <w:noProof/>
          <w:lang w:eastAsia="cs-CZ"/>
        </w:rPr>
        <w:pict>
          <v:rect id="Obdélník 2" o:spid="_x0000_s1026" style="position:absolute;left:0;text-align:left;margin-left:-2.9pt;margin-top:1.8pt;width:19pt;height:8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" fillcolor="#fde9d9" strokecolor="#974706" strokeweight="1pt">
            <v:path arrowok="t"/>
          </v:rect>
        </w:pict>
      </w:r>
      <w:r w:rsidR="009F546E">
        <w:rPr>
          <w:b/>
        </w:rPr>
        <w:tab/>
      </w:r>
      <w:r w:rsidR="009F546E" w:rsidRPr="00A9629E">
        <w:rPr>
          <w:sz w:val="20"/>
          <w:szCs w:val="20"/>
        </w:rPr>
        <w:t>Klíčové aktivity</w:t>
      </w:r>
    </w:p>
    <w:p w:rsidR="009F546E" w:rsidRPr="00A9629E" w:rsidRDefault="004D4F4C" w:rsidP="009F546E">
      <w:pPr>
        <w:ind w:firstLine="0"/>
        <w:rPr>
          <w:sz w:val="20"/>
          <w:szCs w:val="20"/>
        </w:rPr>
      </w:pPr>
      <w:r>
        <w:rPr>
          <w:noProof/>
          <w:lang w:eastAsia="cs-CZ"/>
        </w:rPr>
        <w:pict>
          <v:rect id="Obdélník 5" o:spid="_x0000_s1027" style="position:absolute;left:0;text-align:left;margin-left:-3.05pt;margin-top:2.75pt;width:19pt;height:8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" fillcolor="#eaf1dd" strokecolor="#4e6128" strokeweight="1pt">
            <v:path arrowok="t"/>
          </v:rect>
        </w:pict>
      </w:r>
      <w:r w:rsidR="009F546E" w:rsidRPr="00A9629E">
        <w:rPr>
          <w:sz w:val="20"/>
          <w:szCs w:val="20"/>
        </w:rPr>
        <w:tab/>
        <w:t>Průřezové aktivity</w:t>
      </w:r>
    </w:p>
    <w:p w:rsidR="00F14CD2" w:rsidRDefault="00F14CD2" w:rsidP="00BF2AB0">
      <w:pPr>
        <w:ind w:firstLine="0"/>
        <w:jc w:val="center"/>
        <w:rPr>
          <w:b/>
          <w:sz w:val="28"/>
          <w:szCs w:val="28"/>
        </w:rPr>
      </w:pPr>
    </w:p>
    <w:p w:rsidR="007C7918" w:rsidRDefault="007C7918" w:rsidP="00BF2AB0">
      <w:pPr>
        <w:ind w:firstLine="0"/>
        <w:jc w:val="center"/>
        <w:rPr>
          <w:b/>
          <w:sz w:val="28"/>
          <w:szCs w:val="28"/>
        </w:rPr>
      </w:pPr>
    </w:p>
    <w:p w:rsidR="009F546E" w:rsidRDefault="00DF7AAD" w:rsidP="002A6998">
      <w:pPr>
        <w:spacing w:after="240"/>
        <w:ind w:firstLine="0"/>
        <w:jc w:val="center"/>
        <w:rPr>
          <w:b/>
          <w:sz w:val="28"/>
          <w:szCs w:val="28"/>
        </w:rPr>
      </w:pPr>
      <w:r w:rsidRPr="00BF2AB0">
        <w:rPr>
          <w:b/>
          <w:sz w:val="28"/>
          <w:szCs w:val="28"/>
        </w:rPr>
        <w:t>Návrh metodického postupu</w:t>
      </w:r>
      <w:r w:rsidR="007C7918">
        <w:rPr>
          <w:b/>
          <w:sz w:val="28"/>
          <w:szCs w:val="28"/>
        </w:rPr>
        <w:t xml:space="preserve"> ANALÝZA</w:t>
      </w:r>
    </w:p>
    <w:p w:rsidR="00BF2AB0" w:rsidRPr="002A6998" w:rsidRDefault="002A6998" w:rsidP="002A6998">
      <w:pPr>
        <w:pStyle w:val="Odstavecseseznamem"/>
        <w:numPr>
          <w:ilvl w:val="0"/>
          <w:numId w:val="20"/>
        </w:numPr>
        <w:spacing w:after="120"/>
        <w:ind w:left="357" w:hanging="357"/>
        <w:contextualSpacing w:val="0"/>
        <w:rPr>
          <w:b/>
          <w:i/>
        </w:rPr>
      </w:pPr>
      <w:r w:rsidRPr="002A6998">
        <w:rPr>
          <w:b/>
          <w:i/>
        </w:rPr>
        <w:t xml:space="preserve">KLÍČOVÉ AKTIVITY </w:t>
      </w:r>
    </w:p>
    <w:p w:rsidR="009F546E" w:rsidRPr="00BF2AB0" w:rsidRDefault="00BF2AB0" w:rsidP="00BF2AB0">
      <w:pPr>
        <w:spacing w:after="120"/>
        <w:ind w:firstLine="0"/>
        <w:rPr>
          <w:b/>
        </w:rPr>
      </w:pPr>
      <w:r w:rsidRPr="00BF2AB0">
        <w:rPr>
          <w:b/>
        </w:rPr>
        <w:t>KROK Č. 1: Stanov</w:t>
      </w:r>
      <w:r w:rsidR="00C877CC">
        <w:rPr>
          <w:b/>
        </w:rPr>
        <w:t>ení</w:t>
      </w:r>
      <w:r w:rsidRPr="00BF2AB0">
        <w:rPr>
          <w:b/>
        </w:rPr>
        <w:t xml:space="preserve"> záměr</w:t>
      </w:r>
      <w:r w:rsidR="00C877CC">
        <w:rPr>
          <w:b/>
        </w:rPr>
        <w:t>u</w:t>
      </w:r>
    </w:p>
    <w:p w:rsidR="009F546E" w:rsidRDefault="00AE2FA0" w:rsidP="009F546E">
      <w:r>
        <w:t>Z</w:t>
      </w:r>
      <w:r w:rsidR="009F546E">
        <w:t>áměrem</w:t>
      </w:r>
      <w:r>
        <w:t xml:space="preserve"> je</w:t>
      </w:r>
      <w:r w:rsidR="009F546E">
        <w:t xml:space="preserve"> zpracování analýzy </w:t>
      </w:r>
      <w:r w:rsidR="00175841">
        <w:t xml:space="preserve">rizik </w:t>
      </w:r>
      <w:r w:rsidR="009F546E">
        <w:t xml:space="preserve">pro </w:t>
      </w:r>
      <w:r>
        <w:t xml:space="preserve">dané </w:t>
      </w:r>
      <w:r w:rsidR="007531D7">
        <w:t xml:space="preserve">území regionu </w:t>
      </w:r>
      <w:r w:rsidR="009F546E">
        <w:t>a z nich vyplývajících rizik. Rizika budou rozdělen</w:t>
      </w:r>
      <w:r w:rsidR="007531D7">
        <w:t>a dle jejich významu a stanovena</w:t>
      </w:r>
      <w:r w:rsidR="009F546E">
        <w:t xml:space="preserve"> nebezpečí, pro </w:t>
      </w:r>
      <w:r w:rsidR="007531D7">
        <w:t xml:space="preserve">která bude </w:t>
      </w:r>
      <w:r w:rsidR="00175841">
        <w:t xml:space="preserve">v krizovém plánu kraje či ORP </w:t>
      </w:r>
      <w:r w:rsidR="007531D7">
        <w:t xml:space="preserve">rozpracován typový plán řešení krizové situace. </w:t>
      </w:r>
      <w:r w:rsidR="009F546E">
        <w:t xml:space="preserve"> </w:t>
      </w:r>
      <w:r w:rsidR="00175841">
        <w:t>Dále budou stanovena nebezpečí, která budou</w:t>
      </w:r>
      <w:r w:rsidR="00C877CC">
        <w:t xml:space="preserve"> zapracována do havarijního plánu kraje.</w:t>
      </w:r>
    </w:p>
    <w:p w:rsidR="00AE2FA0" w:rsidRDefault="00AE2FA0" w:rsidP="009F546E"/>
    <w:p w:rsidR="009F546E" w:rsidRPr="00BF2AB0" w:rsidRDefault="00BF2AB0" w:rsidP="00BF2AB0">
      <w:pPr>
        <w:spacing w:after="120"/>
        <w:ind w:firstLine="0"/>
        <w:rPr>
          <w:b/>
        </w:rPr>
      </w:pPr>
      <w:r w:rsidRPr="00BF2AB0">
        <w:rPr>
          <w:b/>
        </w:rPr>
        <w:t>KROK Č. 2: Posou</w:t>
      </w:r>
      <w:r w:rsidR="00C877CC">
        <w:rPr>
          <w:b/>
        </w:rPr>
        <w:t>zení</w:t>
      </w:r>
      <w:r w:rsidRPr="00BF2AB0">
        <w:rPr>
          <w:b/>
        </w:rPr>
        <w:t xml:space="preserve"> rizik</w:t>
      </w:r>
    </w:p>
    <w:p w:rsidR="009F546E" w:rsidRDefault="009F546E" w:rsidP="009F546E">
      <w:r>
        <w:t>Proces je složen z následujících dílčích činností:</w:t>
      </w:r>
    </w:p>
    <w:p w:rsidR="009F546E" w:rsidRDefault="009F546E" w:rsidP="0032384C">
      <w:pPr>
        <w:pStyle w:val="Odstavecseseznamem"/>
        <w:numPr>
          <w:ilvl w:val="1"/>
          <w:numId w:val="10"/>
        </w:numPr>
        <w:ind w:left="357" w:hanging="357"/>
        <w:contextualSpacing w:val="0"/>
      </w:pPr>
      <w:r>
        <w:t>identifikace nebezpečí,</w:t>
      </w:r>
    </w:p>
    <w:p w:rsidR="009F546E" w:rsidRDefault="009F546E" w:rsidP="0032384C">
      <w:pPr>
        <w:pStyle w:val="Odstavecseseznamem"/>
        <w:numPr>
          <w:ilvl w:val="1"/>
          <w:numId w:val="10"/>
        </w:numPr>
        <w:ind w:left="357" w:hanging="357"/>
        <w:contextualSpacing w:val="0"/>
      </w:pPr>
      <w:r>
        <w:t>analýza rizik,</w:t>
      </w:r>
    </w:p>
    <w:p w:rsidR="009F546E" w:rsidRDefault="009F546E" w:rsidP="0032384C">
      <w:pPr>
        <w:pStyle w:val="Odstavecseseznamem"/>
        <w:numPr>
          <w:ilvl w:val="1"/>
          <w:numId w:val="10"/>
        </w:numPr>
        <w:ind w:left="357" w:hanging="357"/>
        <w:contextualSpacing w:val="0"/>
      </w:pPr>
      <w:r>
        <w:t>hodnocení rizik.</w:t>
      </w:r>
    </w:p>
    <w:p w:rsidR="009F546E" w:rsidRDefault="009F546E" w:rsidP="009F546E"/>
    <w:p w:rsidR="009F546E" w:rsidRPr="00ED5208" w:rsidRDefault="009F1C7F" w:rsidP="009F546E">
      <w:pPr>
        <w:spacing w:after="120"/>
        <w:ind w:firstLine="0"/>
        <w:rPr>
          <w:b/>
        </w:rPr>
      </w:pPr>
      <w:r>
        <w:rPr>
          <w:b/>
        </w:rPr>
        <w:t xml:space="preserve">KROK Č. 2.1: </w:t>
      </w:r>
      <w:r w:rsidR="009F546E" w:rsidRPr="00ED5208">
        <w:rPr>
          <w:b/>
        </w:rPr>
        <w:t>Identifik</w:t>
      </w:r>
      <w:r>
        <w:rPr>
          <w:b/>
        </w:rPr>
        <w:t>a</w:t>
      </w:r>
      <w:r w:rsidR="00C877CC">
        <w:rPr>
          <w:b/>
        </w:rPr>
        <w:t>ce</w:t>
      </w:r>
      <w:r>
        <w:rPr>
          <w:b/>
        </w:rPr>
        <w:t xml:space="preserve"> </w:t>
      </w:r>
      <w:r w:rsidR="009F546E" w:rsidRPr="00ED5208">
        <w:rPr>
          <w:b/>
        </w:rPr>
        <w:t>nebezpečí</w:t>
      </w:r>
      <w:r w:rsidR="009F546E">
        <w:rPr>
          <w:b/>
        </w:rPr>
        <w:t xml:space="preserve"> </w:t>
      </w:r>
    </w:p>
    <w:p w:rsidR="009F546E" w:rsidRDefault="001542BC" w:rsidP="001542BC">
      <w:r>
        <w:t>Č</w:t>
      </w:r>
      <w:r w:rsidR="009F546E">
        <w:t xml:space="preserve">leny pracovní skupiny </w:t>
      </w:r>
      <w:r>
        <w:t xml:space="preserve">bylo </w:t>
      </w:r>
      <w:r w:rsidR="00C877CC">
        <w:t xml:space="preserve">v rámci </w:t>
      </w:r>
      <w:r w:rsidR="00D26DE9">
        <w:t xml:space="preserve">celostátní </w:t>
      </w:r>
      <w:r w:rsidR="00C877CC">
        <w:t>analýza hrozeb</w:t>
      </w:r>
      <w:r w:rsidR="00D26DE9">
        <w:t xml:space="preserve"> </w:t>
      </w:r>
      <w:r w:rsidR="009F546E">
        <w:t xml:space="preserve">provedeno určení jednotlivých typů nebezpečí a vytvořen jejich jednotný registr. </w:t>
      </w:r>
      <w:r>
        <w:t xml:space="preserve">Celkem bylo identifikováno 72 typů nebezpečí rozlišených </w:t>
      </w:r>
      <w:r w:rsidR="009F546E">
        <w:t>s ohledem na následující kategorie:</w:t>
      </w:r>
    </w:p>
    <w:p w:rsidR="009F546E" w:rsidRPr="00855291" w:rsidRDefault="009F546E" w:rsidP="0032384C">
      <w:pPr>
        <w:pStyle w:val="Odstavecseseznamem"/>
        <w:numPr>
          <w:ilvl w:val="0"/>
          <w:numId w:val="11"/>
        </w:numPr>
        <w:ind w:left="357" w:hanging="357"/>
        <w:contextualSpacing w:val="0"/>
      </w:pPr>
      <w:r>
        <w:t>naturogenní (</w:t>
      </w:r>
      <w:r w:rsidRPr="00855291">
        <w:t>abiotické</w:t>
      </w:r>
      <w:r>
        <w:t xml:space="preserve"> </w:t>
      </w:r>
      <w:r w:rsidRPr="00855291">
        <w:t>/</w:t>
      </w:r>
      <w:r>
        <w:t xml:space="preserve"> </w:t>
      </w:r>
      <w:r w:rsidRPr="00855291">
        <w:t>biotické</w:t>
      </w:r>
      <w:r>
        <w:t xml:space="preserve"> </w:t>
      </w:r>
      <w:r w:rsidRPr="00855291">
        <w:t>/</w:t>
      </w:r>
      <w:r>
        <w:t xml:space="preserve"> </w:t>
      </w:r>
      <w:r w:rsidRPr="00855291">
        <w:t>kosmické</w:t>
      </w:r>
      <w:r>
        <w:t>);</w:t>
      </w:r>
    </w:p>
    <w:p w:rsidR="009F546E" w:rsidRDefault="009F546E" w:rsidP="0011297F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</w:pPr>
      <w:r w:rsidRPr="00855291">
        <w:t>antropogenní</w:t>
      </w:r>
      <w:r>
        <w:t xml:space="preserve"> (</w:t>
      </w:r>
      <w:r w:rsidRPr="00855291">
        <w:t>technogenní</w:t>
      </w:r>
      <w:r>
        <w:t xml:space="preserve"> </w:t>
      </w:r>
      <w:r w:rsidRPr="00855291">
        <w:t>/</w:t>
      </w:r>
      <w:r>
        <w:t xml:space="preserve"> </w:t>
      </w:r>
      <w:r w:rsidRPr="00855291">
        <w:t>sociogenní</w:t>
      </w:r>
      <w:r>
        <w:t xml:space="preserve"> </w:t>
      </w:r>
      <w:r w:rsidRPr="00855291">
        <w:t>/</w:t>
      </w:r>
      <w:r>
        <w:t xml:space="preserve"> </w:t>
      </w:r>
      <w:r w:rsidRPr="00855291">
        <w:t>ekonomick</w:t>
      </w:r>
      <w:r>
        <w:t xml:space="preserve">é). </w:t>
      </w:r>
    </w:p>
    <w:p w:rsidR="001542BC" w:rsidRDefault="0032384C" w:rsidP="00BD664D">
      <w:r>
        <w:t>Na celostátní úrovni bylo z</w:t>
      </w:r>
      <w:r w:rsidR="00BD664D">
        <w:t xml:space="preserve"> celkového počtu </w:t>
      </w:r>
      <w:r>
        <w:t xml:space="preserve">72 typů nebezpečí </w:t>
      </w:r>
      <w:r w:rsidR="00BD664D">
        <w:t xml:space="preserve">21 označeno jako nebezpečí s nízkým rizikem, 29 s rizikem středním a 22 s rizikem vysokým. </w:t>
      </w:r>
    </w:p>
    <w:p w:rsidR="0011297F" w:rsidRDefault="0011297F" w:rsidP="00BD664D"/>
    <w:p w:rsidR="0077682E" w:rsidRPr="00D26DE9" w:rsidRDefault="0011297F" w:rsidP="00D26DE9">
      <w:pPr>
        <w:rPr>
          <w:b/>
        </w:rPr>
      </w:pPr>
      <w:r w:rsidRPr="00D26DE9">
        <w:rPr>
          <w:b/>
        </w:rPr>
        <w:lastRenderedPageBreak/>
        <w:t xml:space="preserve">Při identifikaci nebezpečí na úrovni regionu </w:t>
      </w:r>
      <w:r w:rsidR="001542BC" w:rsidRPr="00D26DE9">
        <w:rPr>
          <w:b/>
        </w:rPr>
        <w:t xml:space="preserve">bude </w:t>
      </w:r>
      <w:r w:rsidRPr="00D26DE9">
        <w:rPr>
          <w:b/>
        </w:rPr>
        <w:t xml:space="preserve">postupováno </w:t>
      </w:r>
      <w:r w:rsidR="0077682E" w:rsidRPr="00D26DE9">
        <w:rPr>
          <w:b/>
        </w:rPr>
        <w:t>následujícím způsobem:</w:t>
      </w:r>
    </w:p>
    <w:p w:rsidR="0032384C" w:rsidRDefault="004633C4" w:rsidP="0032384C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Zpracovatelé obdrží kompletní registr nebezpečí obsahující všech 72 typů nebezpečí. Pro jednoznačnou identifikaci bude pro každé nebezpečí přiřazen specifický kód. V registru budou vyznačena nebezpečí s nízkým, středním a vysokým rizikem – dle výsledků z celostátní </w:t>
      </w:r>
      <w:r w:rsidR="00C877CC">
        <w:t>analýza hrozeb</w:t>
      </w:r>
      <w:r>
        <w:t>.</w:t>
      </w:r>
      <w:r w:rsidR="00DE6F0B">
        <w:t xml:space="preserve"> </w:t>
      </w:r>
    </w:p>
    <w:p w:rsidR="001542BC" w:rsidRDefault="004633C4" w:rsidP="0032384C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U kategorie nebezpečí označených</w:t>
      </w:r>
      <w:r w:rsidR="007D2812">
        <w:t xml:space="preserve"> jako nebezpečí se středním a vysokým rizikem </w:t>
      </w:r>
      <w:r>
        <w:t xml:space="preserve">bude </w:t>
      </w:r>
      <w:r w:rsidR="00AF7467">
        <w:t xml:space="preserve">vždy </w:t>
      </w:r>
      <w:r>
        <w:t xml:space="preserve">provedeno hodnocení jejich možného výskytu </w:t>
      </w:r>
      <w:r w:rsidR="00AF7467">
        <w:t>na území daného regionu (</w:t>
      </w:r>
      <w:r w:rsidR="00C877CC">
        <w:t xml:space="preserve">v tabulce </w:t>
      </w:r>
      <w:r w:rsidR="00AF7467">
        <w:t>uvést „ANO/NE“).</w:t>
      </w:r>
    </w:p>
    <w:p w:rsidR="00AF7467" w:rsidRPr="00F33D27" w:rsidRDefault="00AF7467" w:rsidP="00AF746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V odůvodněných případech </w:t>
      </w:r>
      <w:r w:rsidR="00C877CC">
        <w:t>lze také do analýz</w:t>
      </w:r>
      <w:r w:rsidR="00DE6F0B">
        <w:t>y</w:t>
      </w:r>
      <w:r w:rsidR="00C877CC">
        <w:t xml:space="preserve"> rizik zahrnout </w:t>
      </w:r>
      <w:r>
        <w:t>nebezpečí označen</w:t>
      </w:r>
      <w:r w:rsidR="00C877CC">
        <w:t>á</w:t>
      </w:r>
      <w:r>
        <w:t xml:space="preserve"> jako nebezpečí s nízkým rizikem, v závislosti na regionálních podmínkách</w:t>
      </w:r>
      <w:r w:rsidR="00C877CC">
        <w:t xml:space="preserve"> </w:t>
      </w:r>
      <w:r>
        <w:t xml:space="preserve"> (</w:t>
      </w:r>
      <w:r w:rsidR="00C877CC">
        <w:t xml:space="preserve">v tabulce </w:t>
      </w:r>
      <w:r>
        <w:t>uvést „ANO/NE</w:t>
      </w:r>
      <w:r w:rsidRPr="00F33D27">
        <w:t>“).</w:t>
      </w:r>
    </w:p>
    <w:p w:rsidR="00DE6F0B" w:rsidRPr="00F33D27" w:rsidRDefault="00DE6F0B" w:rsidP="00AF7467">
      <w:pPr>
        <w:pStyle w:val="Odstavecseseznamem"/>
        <w:numPr>
          <w:ilvl w:val="0"/>
          <w:numId w:val="12"/>
        </w:numPr>
        <w:ind w:left="357" w:hanging="357"/>
        <w:contextualSpacing w:val="0"/>
      </w:pPr>
      <w:r w:rsidRPr="00F33D27">
        <w:t xml:space="preserve">U vybraných typů nebezpečí, které jsou řešitelné z úrovně kraje </w:t>
      </w:r>
      <w:r w:rsidR="005C20BC">
        <w:t xml:space="preserve">pouze na základě konkrétního zadání z příslušného typového plánu </w:t>
      </w:r>
      <w:r w:rsidRPr="00F33D27">
        <w:t>nebo které jsou v ČR nereálné nebo jen s minimální pravděpodobností, bude předvyplněna varianta „Ne“. Tyto označené typy nebezpečí nebudou na úrovni kraje hodnoceny</w:t>
      </w:r>
      <w:r w:rsidR="00AB2717" w:rsidRPr="00F33D27">
        <w:t xml:space="preserve"> (nebude prováděna analýza na úrovni kraje/ORP, to neznamená, že to nehrozí)</w:t>
      </w:r>
      <w:r w:rsidRPr="00F33D27">
        <w:t>.</w:t>
      </w:r>
    </w:p>
    <w:p w:rsidR="007C7918" w:rsidRDefault="007C7918" w:rsidP="00AF7467">
      <w:pPr>
        <w:pStyle w:val="Odstavecseseznamem"/>
        <w:numPr>
          <w:ilvl w:val="0"/>
          <w:numId w:val="12"/>
        </w:numPr>
        <w:ind w:left="357" w:hanging="357"/>
        <w:contextualSpacing w:val="0"/>
      </w:pPr>
      <w:r w:rsidRPr="00F33D27">
        <w:t>Výstupem kroku č. 2.1 bude registr nebezpečí</w:t>
      </w:r>
      <w:r>
        <w:t xml:space="preserve"> odpovídající podmínkám daného regionu.</w:t>
      </w:r>
    </w:p>
    <w:p w:rsidR="0077682E" w:rsidRDefault="0077682E" w:rsidP="009F546E">
      <w:pPr>
        <w:spacing w:after="120"/>
        <w:ind w:firstLine="0"/>
        <w:rPr>
          <w:b/>
        </w:rPr>
      </w:pPr>
    </w:p>
    <w:p w:rsidR="009F546E" w:rsidRPr="001F315F" w:rsidRDefault="007E02AE" w:rsidP="009F546E">
      <w:pPr>
        <w:spacing w:after="120"/>
        <w:ind w:firstLine="0"/>
        <w:rPr>
          <w:b/>
        </w:rPr>
      </w:pPr>
      <w:r>
        <w:rPr>
          <w:b/>
        </w:rPr>
        <w:t>KROK Č. 2.2: Anal</w:t>
      </w:r>
      <w:r w:rsidR="00C877CC">
        <w:rPr>
          <w:b/>
        </w:rPr>
        <w:t>ý</w:t>
      </w:r>
      <w:r>
        <w:rPr>
          <w:b/>
        </w:rPr>
        <w:t>za</w:t>
      </w:r>
      <w:r w:rsidR="009F546E" w:rsidRPr="001F315F">
        <w:rPr>
          <w:b/>
        </w:rPr>
        <w:t xml:space="preserve"> rizik</w:t>
      </w:r>
    </w:p>
    <w:p w:rsidR="00D038A5" w:rsidRDefault="00D038A5" w:rsidP="009F546E">
      <w:r>
        <w:t xml:space="preserve">Typy nebezpečí, pro které bude v předchozím kroku identifikován jejich možný výskyt na území daného regionu (v registru bude uvedeno „ANO“), budou podrobeny analýze rizik. </w:t>
      </w:r>
    </w:p>
    <w:p w:rsidR="009F546E" w:rsidRDefault="009F546E" w:rsidP="009240FF">
      <w:pPr>
        <w:rPr>
          <w:rFonts w:cs="Times"/>
        </w:rPr>
      </w:pPr>
      <w:r>
        <w:t xml:space="preserve">Pravděpodobnost </w:t>
      </w:r>
      <w:r w:rsidR="00D038A5">
        <w:t>realizace daného typu nebezpečí a následky jeho působení budou hodnoceny za využití v</w:t>
      </w:r>
      <w:r w:rsidR="009240FF">
        <w:t xml:space="preserve">ytvořených </w:t>
      </w:r>
      <w:r w:rsidR="00985C1B">
        <w:t xml:space="preserve">koeficientů (rozsah </w:t>
      </w:r>
      <w:r w:rsidR="009240FF">
        <w:t>desetibodových škál</w:t>
      </w:r>
      <w:r w:rsidR="00985C1B">
        <w:t>)</w:t>
      </w:r>
      <w:r>
        <w:t xml:space="preserve">, přičemž následky, jako </w:t>
      </w:r>
      <w:r>
        <w:rPr>
          <w:rFonts w:ascii="Times" w:hAnsi="Times" w:cs="Times"/>
          <w:szCs w:val="24"/>
        </w:rPr>
        <w:t>a</w:t>
      </w:r>
      <w:r w:rsidR="00985C1B">
        <w:rPr>
          <w:rFonts w:ascii="Times" w:hAnsi="Times" w:cs="Times"/>
          <w:szCs w:val="24"/>
        </w:rPr>
        <w:t xml:space="preserve">gregovaná veličina, </w:t>
      </w:r>
      <w:r w:rsidR="00D57CA7">
        <w:rPr>
          <w:rFonts w:ascii="Times" w:hAnsi="Times" w:cs="Times"/>
          <w:szCs w:val="24"/>
        </w:rPr>
        <w:t xml:space="preserve">budou </w:t>
      </w:r>
      <w:r w:rsidR="00985C1B">
        <w:rPr>
          <w:rFonts w:ascii="Times" w:hAnsi="Times" w:cs="Times"/>
          <w:szCs w:val="24"/>
        </w:rPr>
        <w:t>zohledň</w:t>
      </w:r>
      <w:r w:rsidR="00D57CA7">
        <w:rPr>
          <w:rFonts w:ascii="Times" w:hAnsi="Times" w:cs="Times"/>
          <w:szCs w:val="24"/>
        </w:rPr>
        <w:t>ovat</w:t>
      </w:r>
      <w:r>
        <w:rPr>
          <w:rFonts w:ascii="Times" w:hAnsi="Times" w:cs="Times"/>
          <w:szCs w:val="24"/>
        </w:rPr>
        <w:t xml:space="preserve"> dílčí dopady na </w:t>
      </w:r>
      <w:r w:rsidRPr="0025073C">
        <w:rPr>
          <w:rFonts w:cs="Times"/>
        </w:rPr>
        <w:t>životy a zdraví osob</w:t>
      </w:r>
      <w:r>
        <w:rPr>
          <w:rFonts w:cs="Times"/>
        </w:rPr>
        <w:t xml:space="preserve">, životní prostředí, ekonomiku státu a společnost. </w:t>
      </w:r>
    </w:p>
    <w:p w:rsidR="00B11F68" w:rsidRDefault="00B11F68" w:rsidP="009240FF">
      <w:pPr>
        <w:rPr>
          <w:rFonts w:cs="Times"/>
        </w:rPr>
      </w:pPr>
      <w:r>
        <w:rPr>
          <w:rFonts w:cs="Times"/>
        </w:rPr>
        <w:t>Desetibodové škály sest</w:t>
      </w:r>
      <w:r w:rsidR="00985C1B">
        <w:rPr>
          <w:rFonts w:cs="Times"/>
        </w:rPr>
        <w:t xml:space="preserve">avené pro potřeby analýzy rizik </w:t>
      </w:r>
      <w:r>
        <w:rPr>
          <w:rFonts w:cs="Times"/>
        </w:rPr>
        <w:t>na úrovni daného regionu jsou uvedeny v </w:t>
      </w:r>
      <w:r w:rsidRPr="00D57CA7">
        <w:rPr>
          <w:rFonts w:cs="Times"/>
          <w:b/>
        </w:rPr>
        <w:t>příloze č. 1</w:t>
      </w:r>
      <w:r>
        <w:rPr>
          <w:rFonts w:cs="Times"/>
        </w:rPr>
        <w:t xml:space="preserve"> tohoto dokumentu. </w:t>
      </w:r>
    </w:p>
    <w:p w:rsidR="00B11F68" w:rsidRDefault="00B11F68" w:rsidP="009240FF">
      <w:pPr>
        <w:rPr>
          <w:rFonts w:cs="Times"/>
        </w:rPr>
      </w:pPr>
    </w:p>
    <w:p w:rsidR="009240FF" w:rsidRPr="00D57CA7" w:rsidRDefault="00626C28" w:rsidP="009240FF">
      <w:pPr>
        <w:rPr>
          <w:rFonts w:cs="Times"/>
          <w:b/>
        </w:rPr>
      </w:pPr>
      <w:r w:rsidRPr="00D57CA7">
        <w:rPr>
          <w:rFonts w:cs="Times"/>
          <w:b/>
        </w:rPr>
        <w:t xml:space="preserve">Při provedení analýzy rizik </w:t>
      </w:r>
      <w:r w:rsidR="0011297F" w:rsidRPr="00D57CA7">
        <w:rPr>
          <w:b/>
        </w:rPr>
        <w:t>na úrovni regionu bude postupováno následujícím způsobem</w:t>
      </w:r>
      <w:r w:rsidRPr="00D57CA7">
        <w:rPr>
          <w:rFonts w:cs="Times"/>
          <w:b/>
        </w:rPr>
        <w:t>:</w:t>
      </w:r>
    </w:p>
    <w:p w:rsidR="00B11F68" w:rsidRPr="00F168BD" w:rsidRDefault="00B11F68" w:rsidP="00626C28">
      <w:pPr>
        <w:pStyle w:val="Odstavecseseznamem"/>
        <w:numPr>
          <w:ilvl w:val="0"/>
          <w:numId w:val="13"/>
        </w:numPr>
        <w:ind w:left="357" w:hanging="357"/>
        <w:contextualSpacing w:val="0"/>
        <w:rPr>
          <w:rFonts w:cs="Times"/>
        </w:rPr>
      </w:pPr>
      <w:r w:rsidRPr="00B11F68">
        <w:rPr>
          <w:rFonts w:cs="Times"/>
        </w:rPr>
        <w:t xml:space="preserve">Pro </w:t>
      </w:r>
      <w:r>
        <w:t xml:space="preserve">určení úrovně rizika </w:t>
      </w:r>
      <w:r w:rsidR="00F168BD">
        <w:t>bude</w:t>
      </w:r>
      <w:r>
        <w:t xml:space="preserve"> využito vztahu </w:t>
      </w:r>
      <m:oMath>
        <m:r>
          <m:rPr>
            <m:sty m:val="b"/>
          </m:rPr>
          <w:rPr>
            <w:rFonts w:ascii="Cambria Math" w:hAnsi="Cambria Math" w:cs="Times"/>
            <w:szCs w:val="28"/>
          </w:rPr>
          <m:t>R</m:t>
        </m:r>
        <m:r>
          <m:rPr>
            <m:sty m:val="b"/>
          </m:rPr>
          <w:rPr>
            <w:rFonts w:ascii="Cambria Math" w:hAnsi="Times" w:cs="Times"/>
            <w:szCs w:val="28"/>
          </w:rPr>
          <m:t>=F</m:t>
        </m:r>
        <m:r>
          <m:rPr>
            <m:sty m:val="b"/>
          </m:rPr>
          <w:rPr>
            <w:rFonts w:ascii="Cambria Math" w:hAnsi="Cambria Math" w:cs="Times"/>
            <w:szCs w:val="28"/>
          </w:rPr>
          <m:t>×</m:t>
        </m:r>
        <m:r>
          <m:rPr>
            <m:sty m:val="b"/>
          </m:rPr>
          <w:rPr>
            <w:rFonts w:ascii="Cambria Math" w:hAnsi="Times" w:cs="Times"/>
            <w:szCs w:val="28"/>
          </w:rPr>
          <m:t>N</m:t>
        </m:r>
      </m:oMath>
      <w:r w:rsidRPr="00B11F68">
        <w:rPr>
          <w:b/>
          <w:szCs w:val="28"/>
        </w:rPr>
        <w:t xml:space="preserve"> </w:t>
      </w:r>
      <w:r w:rsidRPr="00B11F68">
        <w:rPr>
          <w:szCs w:val="28"/>
        </w:rPr>
        <w:t>(</w:t>
      </w:r>
      <w:r w:rsidRPr="00B11F68">
        <w:rPr>
          <w:i/>
        </w:rPr>
        <w:t xml:space="preserve">F </w:t>
      </w:r>
      <w:r w:rsidRPr="00B11F68">
        <w:t>- koeficient</w:t>
      </w:r>
      <w:r w:rsidRPr="00A146F7">
        <w:t xml:space="preserve"> četnosti </w:t>
      </w:r>
      <w:r>
        <w:t xml:space="preserve">možné aktivace konkrétního typu nebezpečí; </w:t>
      </w:r>
      <w:r w:rsidRPr="00B11F68">
        <w:rPr>
          <w:b/>
          <w:i/>
        </w:rPr>
        <w:t>N</w:t>
      </w:r>
      <w:r w:rsidRPr="00B11F68">
        <w:rPr>
          <w:b/>
        </w:rPr>
        <w:t xml:space="preserve"> </w:t>
      </w:r>
      <w:r w:rsidR="00985C1B">
        <w:rPr>
          <w:b/>
        </w:rPr>
        <w:t>–</w:t>
      </w:r>
      <w:r w:rsidRPr="00B11F68">
        <w:rPr>
          <w:b/>
        </w:rPr>
        <w:t xml:space="preserve"> </w:t>
      </w:r>
      <w:r w:rsidR="00985C1B" w:rsidRPr="00985C1B">
        <w:t>koeficient</w:t>
      </w:r>
      <w:r w:rsidR="00985C1B">
        <w:rPr>
          <w:b/>
        </w:rPr>
        <w:t xml:space="preserve"> </w:t>
      </w:r>
      <w:r>
        <w:t>souhrnné</w:t>
      </w:r>
      <w:r w:rsidR="00985C1B">
        <w:t>ho vyjádření nepříznivých účinků/</w:t>
      </w:r>
      <w:r>
        <w:t xml:space="preserve">dopadů události či jevu).  Uvedený matematický vztah </w:t>
      </w:r>
      <w:r w:rsidR="008A6ECA">
        <w:t xml:space="preserve">je </w:t>
      </w:r>
      <w:r>
        <w:t>zapracován formou funkce do</w:t>
      </w:r>
      <w:r w:rsidR="00F168BD">
        <w:t xml:space="preserve"> registru nebezpečí. </w:t>
      </w:r>
    </w:p>
    <w:p w:rsidR="00C50AD8" w:rsidRPr="00021562" w:rsidRDefault="00985C1B" w:rsidP="00C50AD8">
      <w:pPr>
        <w:pStyle w:val="Odstavecseseznamem"/>
        <w:numPr>
          <w:ilvl w:val="0"/>
          <w:numId w:val="13"/>
        </w:numPr>
        <w:ind w:left="357" w:hanging="357"/>
        <w:contextualSpacing w:val="0"/>
        <w:rPr>
          <w:rFonts w:cs="Times"/>
        </w:rPr>
      </w:pPr>
      <w:r>
        <w:t xml:space="preserve">Analýza rizik spočívá v přiřazování </w:t>
      </w:r>
      <w:r w:rsidR="009310AF">
        <w:t xml:space="preserve">příslušné hodnoty koeficientu </w:t>
      </w:r>
      <w:r w:rsidR="009310AF" w:rsidRPr="009310AF">
        <w:rPr>
          <w:i/>
        </w:rPr>
        <w:t>F</w:t>
      </w:r>
      <w:r w:rsidR="009310AF">
        <w:t xml:space="preserve"> a dílčích koeficientů </w:t>
      </w:r>
      <w:r w:rsidR="009310AF" w:rsidRPr="009310AF">
        <w:rPr>
          <w:i/>
        </w:rPr>
        <w:t>N</w:t>
      </w:r>
      <w:r w:rsidR="009310AF">
        <w:t xml:space="preserve"> </w:t>
      </w:r>
      <w:r w:rsidR="00C54905">
        <w:t>jednotlivým typům</w:t>
      </w:r>
      <w:r w:rsidR="009310AF">
        <w:t xml:space="preserve"> </w:t>
      </w:r>
      <w:r w:rsidR="00C50AD8">
        <w:t>nebezpečí</w:t>
      </w:r>
      <w:r w:rsidR="00FA21FB">
        <w:t xml:space="preserve"> (hodnoty koeficientů jsou uvedeny v </w:t>
      </w:r>
      <w:r w:rsidR="00C50AD8">
        <w:t>přílo</w:t>
      </w:r>
      <w:r w:rsidR="00FA21FB">
        <w:t xml:space="preserve">ze č. 1 </w:t>
      </w:r>
      <w:r w:rsidR="00C50AD8">
        <w:t xml:space="preserve">tohoto </w:t>
      </w:r>
      <w:r w:rsidR="00FA21FB">
        <w:t>dokumentu)</w:t>
      </w:r>
      <w:r w:rsidR="00C50AD8">
        <w:t>. Po přiřazení hodnoty dojde v registru nebezpečí k automatické změně a následnému výpočtu rizika</w:t>
      </w:r>
      <w:r w:rsidR="009310AF">
        <w:t xml:space="preserve"> pro jednotlivé typy nebezpečí</w:t>
      </w:r>
      <w:r w:rsidR="00C50AD8">
        <w:t xml:space="preserve">. </w:t>
      </w:r>
    </w:p>
    <w:p w:rsidR="005526FF" w:rsidRPr="005526FF" w:rsidRDefault="00021562" w:rsidP="00C50AD8">
      <w:pPr>
        <w:pStyle w:val="Odstavecseseznamem"/>
        <w:numPr>
          <w:ilvl w:val="0"/>
          <w:numId w:val="13"/>
        </w:numPr>
        <w:ind w:left="357" w:hanging="357"/>
        <w:contextualSpacing w:val="0"/>
        <w:rPr>
          <w:rFonts w:cs="Times"/>
        </w:rPr>
      </w:pPr>
      <w:r>
        <w:t>P</w:t>
      </w:r>
      <w:r w:rsidR="00FC5D12">
        <w:t>ro</w:t>
      </w:r>
      <w:r>
        <w:t xml:space="preserve"> přiřazování hodnot </w:t>
      </w:r>
      <w:r w:rsidR="00AE336A">
        <w:t xml:space="preserve">koeficientů </w:t>
      </w:r>
      <w:r w:rsidR="005526FF">
        <w:t>bude východiskem předpoklad realizace nejhoršího možného scénáře</w:t>
      </w:r>
      <w:r w:rsidR="00FC5D12">
        <w:t xml:space="preserve">/modelu vývoje situace, tj. </w:t>
      </w:r>
      <w:r w:rsidR="00AE336A">
        <w:t xml:space="preserve">stanovení </w:t>
      </w:r>
      <w:r w:rsidR="00FC5D12">
        <w:t>tzv. „reprezentativního případu“.</w:t>
      </w:r>
    </w:p>
    <w:p w:rsidR="005526FF" w:rsidRDefault="005526FF" w:rsidP="00AE336A">
      <w:pPr>
        <w:pStyle w:val="Odstavecseseznamem"/>
        <w:ind w:left="357" w:firstLine="0"/>
        <w:contextualSpacing w:val="0"/>
      </w:pPr>
      <w:r>
        <w:t xml:space="preserve">Uvedeno na příkladu typu nebezpečí „přirozené povodně“ </w:t>
      </w:r>
      <w:r w:rsidR="00FC5D12">
        <w:t xml:space="preserve">by reprezentativní případ odpovídal </w:t>
      </w:r>
      <w:r w:rsidR="00AE336A">
        <w:t>přirozeným povodním se závažnými dopady na území daného regionu</w:t>
      </w:r>
      <w:r w:rsidR="00985C1B">
        <w:t xml:space="preserve"> </w:t>
      </w:r>
      <w:r w:rsidR="00985C1B">
        <w:br/>
        <w:t>(např. Q 100)</w:t>
      </w:r>
      <w:r w:rsidR="00AE336A">
        <w:t xml:space="preserve">. Reprezentativním případem by tedy nebylo možné označit </w:t>
      </w:r>
      <w:r>
        <w:t xml:space="preserve">přirozené </w:t>
      </w:r>
      <w:r>
        <w:lastRenderedPageBreak/>
        <w:t>povodně</w:t>
      </w:r>
      <w:r w:rsidR="00AE336A" w:rsidRPr="00AE336A">
        <w:t xml:space="preserve"> </w:t>
      </w:r>
      <w:r w:rsidR="00AE336A">
        <w:t xml:space="preserve">pravidelně se vyskytující v území, dosahující však </w:t>
      </w:r>
      <w:r>
        <w:t xml:space="preserve">relativně </w:t>
      </w:r>
      <w:r w:rsidR="00AE336A">
        <w:t>nízkých</w:t>
      </w:r>
      <w:r>
        <w:t xml:space="preserve"> dopad</w:t>
      </w:r>
      <w:r w:rsidR="00AE336A">
        <w:t>ů</w:t>
      </w:r>
      <w:r w:rsidR="00985C1B">
        <w:t xml:space="preserve"> (např. Q 5)</w:t>
      </w:r>
      <w:r w:rsidR="00AE336A">
        <w:t>.</w:t>
      </w:r>
      <w:r>
        <w:t xml:space="preserve"> </w:t>
      </w:r>
    </w:p>
    <w:p w:rsidR="00167383" w:rsidRDefault="00167383" w:rsidP="00167383">
      <w:pPr>
        <w:pStyle w:val="Odstavecseseznamem"/>
        <w:ind w:left="357" w:firstLine="0"/>
        <w:contextualSpacing w:val="0"/>
      </w:pPr>
      <w:r>
        <w:t xml:space="preserve">Při analýze rizik typů nebezpečí, které doposud </w:t>
      </w:r>
      <w:r w:rsidR="000B1406">
        <w:t>v</w:t>
      </w:r>
      <w:r>
        <w:t xml:space="preserve"> území nenastaly, bude uvažo</w:t>
      </w:r>
      <w:r w:rsidR="000B1406">
        <w:t xml:space="preserve">ván modelový </w:t>
      </w:r>
      <w:r w:rsidR="00AE336A">
        <w:t xml:space="preserve">reprezentativní </w:t>
      </w:r>
      <w:r w:rsidR="000B1406">
        <w:t xml:space="preserve">případ, tj. </w:t>
      </w:r>
      <w:r w:rsidR="00652C49">
        <w:t xml:space="preserve">budou </w:t>
      </w:r>
      <w:r w:rsidR="000B1406">
        <w:t>např. zohledněny zkušenosti z jiných regionů a aplikovány pro region</w:t>
      </w:r>
      <w:r w:rsidR="00652C49">
        <w:t xml:space="preserve"> posuzovaný</w:t>
      </w:r>
      <w:r w:rsidR="000B1406">
        <w:t xml:space="preserve">. </w:t>
      </w:r>
    </w:p>
    <w:p w:rsidR="00652C49" w:rsidRDefault="00652C49" w:rsidP="007548AE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Výstupem kroku č. 2.2 bude kvantifikace jednotlivých identifikovaných nebezpečí z hlediska jejich rizikovosti pro dané území</w:t>
      </w:r>
      <w:r w:rsidR="008A6ECA">
        <w:t xml:space="preserve"> – veličina „úroveň rizika“</w:t>
      </w:r>
      <w:r>
        <w:t xml:space="preserve">. </w:t>
      </w:r>
    </w:p>
    <w:p w:rsidR="009F546E" w:rsidRDefault="009F546E" w:rsidP="009F546E">
      <w:pPr>
        <w:spacing w:before="120"/>
      </w:pPr>
    </w:p>
    <w:p w:rsidR="009F546E" w:rsidRPr="00926F5C" w:rsidRDefault="000B1406" w:rsidP="009F546E">
      <w:pPr>
        <w:ind w:firstLine="0"/>
      </w:pPr>
      <w:r>
        <w:rPr>
          <w:b/>
        </w:rPr>
        <w:t xml:space="preserve">KROK Č 2.3: </w:t>
      </w:r>
      <w:r w:rsidR="008A6ECA">
        <w:rPr>
          <w:b/>
        </w:rPr>
        <w:t>Hodnocení</w:t>
      </w:r>
      <w:r w:rsidR="008A6ECA" w:rsidRPr="00ED198D">
        <w:rPr>
          <w:b/>
        </w:rPr>
        <w:t xml:space="preserve"> </w:t>
      </w:r>
      <w:r w:rsidR="009F546E" w:rsidRPr="00ED198D">
        <w:rPr>
          <w:b/>
        </w:rPr>
        <w:t>rizik</w:t>
      </w:r>
    </w:p>
    <w:p w:rsidR="006D481F" w:rsidRDefault="009F546E" w:rsidP="009F546E">
      <w:pPr>
        <w:spacing w:before="120"/>
      </w:pPr>
      <w:r>
        <w:t xml:space="preserve">Smyslem hodnocení je identifikace prioritních rizik, kterým </w:t>
      </w:r>
      <w:r w:rsidR="00C54905">
        <w:t>bude</w:t>
      </w:r>
      <w:r>
        <w:t xml:space="preserve"> nutné věnovat pozornost</w:t>
      </w:r>
      <w:r w:rsidR="008A6ECA">
        <w:t xml:space="preserve"> v rámci havarijního nebo krizového plánu</w:t>
      </w:r>
      <w:r>
        <w:t xml:space="preserve">. </w:t>
      </w:r>
    </w:p>
    <w:p w:rsidR="006D481F" w:rsidRDefault="006D481F" w:rsidP="006D481F">
      <w:pPr>
        <w:rPr>
          <w:rFonts w:cs="Times"/>
        </w:rPr>
      </w:pPr>
    </w:p>
    <w:p w:rsidR="006D481F" w:rsidRPr="00C54905" w:rsidRDefault="006D481F" w:rsidP="006D481F">
      <w:pPr>
        <w:rPr>
          <w:rFonts w:cs="Times"/>
          <w:b/>
        </w:rPr>
      </w:pPr>
      <w:r w:rsidRPr="00C54905">
        <w:rPr>
          <w:rFonts w:cs="Times"/>
          <w:b/>
        </w:rPr>
        <w:t xml:space="preserve">Při hodnocení rizik </w:t>
      </w:r>
      <w:r w:rsidRPr="00C54905">
        <w:rPr>
          <w:b/>
        </w:rPr>
        <w:t>na úrovni regionu bude postupováno následujícím způsobem</w:t>
      </w:r>
      <w:r w:rsidRPr="00C54905">
        <w:rPr>
          <w:rFonts w:cs="Times"/>
          <w:b/>
        </w:rPr>
        <w:t>:</w:t>
      </w:r>
    </w:p>
    <w:p w:rsidR="000C5432" w:rsidRDefault="00C54905" w:rsidP="00C54905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Provedením kroku č. 2.2 budou výsledné hodnoty rizik automaticky zobrazovány v</w:t>
      </w:r>
      <w:r w:rsidR="00FA21FB">
        <w:t> tzv.</w:t>
      </w:r>
      <w:r>
        <w:t> </w:t>
      </w:r>
      <w:r w:rsidR="008A6ECA">
        <w:t xml:space="preserve">grafu </w:t>
      </w:r>
      <w:r>
        <w:t>rizik, kter</w:t>
      </w:r>
      <w:r w:rsidR="008A6ECA">
        <w:t>ý</w:t>
      </w:r>
      <w:r>
        <w:t xml:space="preserve"> bude </w:t>
      </w:r>
      <w:r w:rsidR="000C5432">
        <w:t>součástí registru</w:t>
      </w:r>
      <w:r>
        <w:t xml:space="preserve"> nebezpečí </w:t>
      </w:r>
      <w:r w:rsidR="000C5432">
        <w:t xml:space="preserve">a bude s ním </w:t>
      </w:r>
      <w:r>
        <w:t xml:space="preserve">přímo provázán. </w:t>
      </w:r>
      <w:r w:rsidR="000C5432">
        <w:t>Veškeré změny provedené v uvedeném registru se tedy automaticky projeví v </w:t>
      </w:r>
      <w:r w:rsidR="008A6ECA">
        <w:t xml:space="preserve">grafu </w:t>
      </w:r>
      <w:r w:rsidR="000C5432">
        <w:t>rizik.</w:t>
      </w:r>
    </w:p>
    <w:p w:rsidR="00A35928" w:rsidRDefault="000C5432" w:rsidP="006D481F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</w:pPr>
      <w:r>
        <w:t>V </w:t>
      </w:r>
      <w:r w:rsidR="008A6ECA">
        <w:t xml:space="preserve">grafu </w:t>
      </w:r>
      <w:r>
        <w:t xml:space="preserve">rizik budou vyznačeny tzv. </w:t>
      </w:r>
      <w:r w:rsidR="00DA0745">
        <w:t>limitní hodnoty úrovně rizik:</w:t>
      </w:r>
    </w:p>
    <w:p w:rsidR="00DA0745" w:rsidRDefault="00DA0745" w:rsidP="006D481F">
      <w:pPr>
        <w:pStyle w:val="Odstavecseseznamem"/>
        <w:numPr>
          <w:ilvl w:val="0"/>
          <w:numId w:val="18"/>
        </w:numPr>
        <w:ind w:left="1491" w:hanging="357"/>
        <w:contextualSpacing w:val="0"/>
      </w:pPr>
      <w:r>
        <w:t xml:space="preserve">spodní limitní hodnota úrovně rizika je </w:t>
      </w:r>
      <w:r w:rsidR="005C20BC">
        <w:t>10</w:t>
      </w:r>
      <w:r>
        <w:t>;</w:t>
      </w:r>
    </w:p>
    <w:p w:rsidR="00DA0745" w:rsidRDefault="00DA0745" w:rsidP="006D481F">
      <w:pPr>
        <w:pStyle w:val="Odstavecseseznamem"/>
        <w:numPr>
          <w:ilvl w:val="0"/>
          <w:numId w:val="18"/>
        </w:numPr>
        <w:ind w:left="1491" w:hanging="357"/>
        <w:contextualSpacing w:val="0"/>
      </w:pPr>
      <w:r>
        <w:t xml:space="preserve">horní limitní hodnota úrovně rizika je </w:t>
      </w:r>
      <w:r w:rsidR="005C20BC">
        <w:t>30</w:t>
      </w:r>
      <w:r>
        <w:t>.</w:t>
      </w:r>
    </w:p>
    <w:p w:rsidR="00DA0745" w:rsidRDefault="00DA0745" w:rsidP="006D481F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Na základě stanovených limitních hodnot budou </w:t>
      </w:r>
      <w:r w:rsidR="000C5432">
        <w:t>na daném území rizika rozlišena do tří</w:t>
      </w:r>
      <w:r>
        <w:t xml:space="preserve"> základní</w:t>
      </w:r>
      <w:r w:rsidR="000C5432">
        <w:t>ch kategorií</w:t>
      </w:r>
      <w:r>
        <w:t xml:space="preserve">: </w:t>
      </w:r>
    </w:p>
    <w:p w:rsidR="00DA0745" w:rsidRDefault="00DA0745" w:rsidP="006D481F">
      <w:pPr>
        <w:pStyle w:val="Odstavecseseznamem"/>
        <w:numPr>
          <w:ilvl w:val="0"/>
          <w:numId w:val="19"/>
        </w:numPr>
        <w:contextualSpacing w:val="0"/>
      </w:pPr>
      <w:r>
        <w:t xml:space="preserve">rizika přijatelná (úroveň rizika 0 – </w:t>
      </w:r>
      <w:r w:rsidR="005C20BC">
        <w:t>10</w:t>
      </w:r>
      <w:r>
        <w:t>);</w:t>
      </w:r>
    </w:p>
    <w:p w:rsidR="006D481F" w:rsidRDefault="006D481F" w:rsidP="006D481F">
      <w:pPr>
        <w:pStyle w:val="Odstavecseseznamem"/>
        <w:ind w:left="1429" w:firstLine="0"/>
      </w:pPr>
      <w:r w:rsidRPr="006D481F">
        <w:t>P</w:t>
      </w:r>
      <w:r>
        <w:t xml:space="preserve">ro kategorii není předpokládáno přijímání mimořádných opatření. Zpravidla se jedná o situace zvládnutelné v režimu běžné činnosti složek integrovaného záchranného systému. </w:t>
      </w:r>
    </w:p>
    <w:p w:rsidR="00DA0745" w:rsidRDefault="00DA0745" w:rsidP="006D481F">
      <w:pPr>
        <w:pStyle w:val="Odstavecseseznamem"/>
        <w:numPr>
          <w:ilvl w:val="0"/>
          <w:numId w:val="19"/>
        </w:numPr>
        <w:contextualSpacing w:val="0"/>
      </w:pPr>
      <w:r>
        <w:t xml:space="preserve">rizika podmínečně přijatelná (úroveň rizika </w:t>
      </w:r>
      <w:r w:rsidR="005C20BC">
        <w:t>11</w:t>
      </w:r>
      <w:r>
        <w:t xml:space="preserve"> – </w:t>
      </w:r>
      <w:r w:rsidR="005C20BC">
        <w:t>30</w:t>
      </w:r>
      <w:r>
        <w:t>);</w:t>
      </w:r>
    </w:p>
    <w:p w:rsidR="006D481F" w:rsidRDefault="006D481F" w:rsidP="006D481F">
      <w:pPr>
        <w:pStyle w:val="Odstavecseseznamem"/>
        <w:ind w:left="1429" w:firstLine="0"/>
      </w:pPr>
      <w:r>
        <w:t xml:space="preserve">Pro kategorii je předpokládáno přijímání opatření vedoucích k jejich eliminaci. Kategorie spadá do oblasti přípravy na řešení mimořádných událostí a zahrnuje především havarijní plánování a </w:t>
      </w:r>
      <w:r w:rsidR="00B86794">
        <w:t>oblast</w:t>
      </w:r>
      <w:r>
        <w:t xml:space="preserve"> typových činností. </w:t>
      </w:r>
    </w:p>
    <w:p w:rsidR="00DA0745" w:rsidRDefault="00DA0745" w:rsidP="006D481F">
      <w:pPr>
        <w:pStyle w:val="Odstavecseseznamem"/>
        <w:numPr>
          <w:ilvl w:val="0"/>
          <w:numId w:val="19"/>
        </w:numPr>
        <w:contextualSpacing w:val="0"/>
      </w:pPr>
      <w:r>
        <w:t xml:space="preserve">rizika nepřijatelná (úroveň rizika </w:t>
      </w:r>
      <w:r w:rsidR="005C20BC">
        <w:t>vyšší než 30</w:t>
      </w:r>
      <w:r>
        <w:t>).</w:t>
      </w:r>
    </w:p>
    <w:p w:rsidR="006D481F" w:rsidRDefault="006D481F" w:rsidP="006D481F">
      <w:pPr>
        <w:pStyle w:val="Odstavecseseznamem"/>
        <w:ind w:left="1429" w:firstLine="0"/>
        <w:contextualSpacing w:val="0"/>
      </w:pPr>
      <w:r>
        <w:t>Pro kategorii je nutné</w:t>
      </w:r>
      <w:r w:rsidRPr="006D481F">
        <w:t xml:space="preserve"> </w:t>
      </w:r>
      <w:r>
        <w:t>přijímat opatření vedoucí k jejich eliminaci. Kategorie spadá do oblasti přípravy na řešení krizových situací a zahrnuje především krizové plánování.</w:t>
      </w:r>
    </w:p>
    <w:p w:rsidR="009F546E" w:rsidRDefault="00CC21A5" w:rsidP="009F546E">
      <w:pPr>
        <w:pStyle w:val="Odstavecseseznamem"/>
        <w:numPr>
          <w:ilvl w:val="0"/>
          <w:numId w:val="13"/>
        </w:numPr>
        <w:ind w:left="357" w:firstLine="0"/>
        <w:contextualSpacing w:val="0"/>
      </w:pPr>
      <w:r>
        <w:t xml:space="preserve">Výstupem kroku č. 2.3 bude </w:t>
      </w:r>
      <w:r w:rsidR="00601FDB">
        <w:t xml:space="preserve">rozdělení rizik daného územního celku do tří základních kategorií – dle míry jejich významnosti. Na základě této kategorizace bude </w:t>
      </w:r>
      <w:r w:rsidR="00FA21FB">
        <w:t xml:space="preserve">v souladu s </w:t>
      </w:r>
      <w:r w:rsidR="00601FDB">
        <w:t>Metodick</w:t>
      </w:r>
      <w:r w:rsidR="00FA21FB">
        <w:t>ým</w:t>
      </w:r>
      <w:r w:rsidR="00601FDB">
        <w:t xml:space="preserve"> postup</w:t>
      </w:r>
      <w:r w:rsidR="00FA21FB">
        <w:t>em</w:t>
      </w:r>
      <w:r w:rsidR="00601FDB">
        <w:t xml:space="preserve"> PLÁNOVÁNÍ probíhat následné ošetření rizik </w:t>
      </w:r>
      <w:r w:rsidR="00FA21FB">
        <w:t>a</w:t>
      </w:r>
      <w:r w:rsidR="00601FDB">
        <w:t xml:space="preserve"> zpracování plánovací dokumentace. </w:t>
      </w:r>
    </w:p>
    <w:p w:rsidR="00601FDB" w:rsidRDefault="00601FDB" w:rsidP="00D632C4">
      <w:pPr>
        <w:pStyle w:val="Odstavecseseznamem"/>
        <w:ind w:left="357" w:firstLine="0"/>
        <w:contextualSpacing w:val="0"/>
      </w:pPr>
    </w:p>
    <w:p w:rsidR="00CC21A5" w:rsidRPr="002A6998" w:rsidRDefault="002A6998" w:rsidP="002A6998">
      <w:pPr>
        <w:pStyle w:val="Odstavecseseznamem"/>
        <w:numPr>
          <w:ilvl w:val="0"/>
          <w:numId w:val="20"/>
        </w:numPr>
        <w:spacing w:after="120"/>
        <w:ind w:left="357" w:hanging="357"/>
        <w:contextualSpacing w:val="0"/>
        <w:rPr>
          <w:b/>
          <w:i/>
        </w:rPr>
      </w:pPr>
      <w:r w:rsidRPr="002A6998">
        <w:rPr>
          <w:b/>
          <w:i/>
        </w:rPr>
        <w:t>PRŮŘEZOVÉ AKTIVITY</w:t>
      </w:r>
    </w:p>
    <w:p w:rsidR="009F546E" w:rsidRPr="00C612BD" w:rsidRDefault="00C612BD" w:rsidP="00C612BD">
      <w:pPr>
        <w:tabs>
          <w:tab w:val="left" w:pos="360"/>
        </w:tabs>
        <w:spacing w:after="120"/>
        <w:ind w:firstLine="0"/>
        <w:rPr>
          <w:b/>
        </w:rPr>
      </w:pPr>
      <w:r w:rsidRPr="00C612BD">
        <w:rPr>
          <w:b/>
        </w:rPr>
        <w:t xml:space="preserve">AKTIVITA Č. 1: </w:t>
      </w:r>
      <w:r>
        <w:rPr>
          <w:b/>
        </w:rPr>
        <w:t>K</w:t>
      </w:r>
      <w:r w:rsidRPr="00C612BD">
        <w:rPr>
          <w:b/>
        </w:rPr>
        <w:t>omunik</w:t>
      </w:r>
      <w:r w:rsidR="008A6ECA">
        <w:rPr>
          <w:b/>
        </w:rPr>
        <w:t>ace</w:t>
      </w:r>
      <w:r>
        <w:rPr>
          <w:b/>
        </w:rPr>
        <w:t xml:space="preserve"> a konzult</w:t>
      </w:r>
      <w:r w:rsidR="008A6ECA">
        <w:rPr>
          <w:b/>
        </w:rPr>
        <w:t>ace</w:t>
      </w:r>
    </w:p>
    <w:p w:rsidR="00C612BD" w:rsidRDefault="00C612BD" w:rsidP="009F546E">
      <w:pPr>
        <w:tabs>
          <w:tab w:val="left" w:pos="360"/>
        </w:tabs>
      </w:pPr>
      <w:r>
        <w:t xml:space="preserve">Přestože je návrh metodického postupu ANALÝZA určen pro příslušníky </w:t>
      </w:r>
      <w:r w:rsidR="002D0EAB">
        <w:t>HZS krajů, jakožto zpracovatele</w:t>
      </w:r>
      <w:r>
        <w:t xml:space="preserve"> předmětné plánovací dokumentace, je nezbytným předpokladem úzká součinnost s dalšími aktéry, kteří do procesu přípravy na řešení mimořádných událostí a krizových situací vstupují.  </w:t>
      </w:r>
    </w:p>
    <w:p w:rsidR="00C612BD" w:rsidRDefault="00C612BD" w:rsidP="009F546E">
      <w:pPr>
        <w:tabs>
          <w:tab w:val="left" w:pos="360"/>
        </w:tabs>
      </w:pPr>
      <w:r>
        <w:lastRenderedPageBreak/>
        <w:t xml:space="preserve">V daném případě </w:t>
      </w:r>
      <w:r w:rsidR="007154BC">
        <w:t>je</w:t>
      </w:r>
      <w:r>
        <w:t xml:space="preserve"> </w:t>
      </w:r>
      <w:r w:rsidR="007154BC">
        <w:t>předpokládána komunikace při realizaci analytických činností se subjekty, které se podílí na zpracování</w:t>
      </w:r>
      <w:r w:rsidR="000D4BDC">
        <w:t>/schvalování</w:t>
      </w:r>
      <w:r w:rsidR="007154BC">
        <w:t xml:space="preserve"> plánovací dokumentace </w:t>
      </w:r>
      <w:r w:rsidR="000D4BDC">
        <w:t xml:space="preserve">a </w:t>
      </w:r>
      <w:r w:rsidR="007154BC">
        <w:t>alespoň jedna povinná konzultace výsledků analýzy rizik daného územního celku</w:t>
      </w:r>
      <w:r w:rsidR="005C20BC">
        <w:t xml:space="preserve"> pro úroveň kraj</w:t>
      </w:r>
      <w:bookmarkStart w:id="0" w:name="_GoBack"/>
      <w:bookmarkEnd w:id="0"/>
      <w:r w:rsidR="007154BC">
        <w:t xml:space="preserve"> s určenými zástupci MV – GŘ HZS ČR</w:t>
      </w:r>
      <w:r w:rsidR="000D4BDC">
        <w:t xml:space="preserve">. Smyslem je koordinace jednotného přístupu k aplikaci předložené metodiky. </w:t>
      </w:r>
    </w:p>
    <w:p w:rsidR="005C20BC" w:rsidRDefault="005C20BC" w:rsidP="009F546E">
      <w:pPr>
        <w:tabs>
          <w:tab w:val="left" w:pos="360"/>
        </w:tabs>
      </w:pPr>
    </w:p>
    <w:p w:rsidR="00C612BD" w:rsidRDefault="00C612BD" w:rsidP="00C612BD">
      <w:pPr>
        <w:tabs>
          <w:tab w:val="left" w:pos="360"/>
        </w:tabs>
        <w:spacing w:after="120"/>
        <w:ind w:firstLine="0"/>
        <w:rPr>
          <w:b/>
        </w:rPr>
      </w:pPr>
      <w:r>
        <w:rPr>
          <w:b/>
        </w:rPr>
        <w:t xml:space="preserve">AKTIVITA Č. 2: </w:t>
      </w:r>
      <w:r w:rsidR="008A6ECA">
        <w:rPr>
          <w:b/>
        </w:rPr>
        <w:t xml:space="preserve">Monitorování </w:t>
      </w:r>
      <w:r>
        <w:rPr>
          <w:b/>
        </w:rPr>
        <w:t>a přezkoumáv</w:t>
      </w:r>
      <w:r w:rsidR="008A6ECA">
        <w:rPr>
          <w:b/>
        </w:rPr>
        <w:t>ání</w:t>
      </w:r>
      <w:r>
        <w:rPr>
          <w:b/>
        </w:rPr>
        <w:t xml:space="preserve"> </w:t>
      </w:r>
    </w:p>
    <w:p w:rsidR="00627838" w:rsidRDefault="00FA21FB" w:rsidP="00627838">
      <w:r>
        <w:t>Aktualizace p</w:t>
      </w:r>
      <w:r w:rsidR="00627838">
        <w:t>roces</w:t>
      </w:r>
      <w:r>
        <w:t>u</w:t>
      </w:r>
      <w:r w:rsidR="00627838">
        <w:t xml:space="preserve"> analýzy rizik bude cyklicky prováděn</w:t>
      </w:r>
      <w:r>
        <w:t>a</w:t>
      </w:r>
      <w:r w:rsidR="00627838">
        <w:t xml:space="preserve"> vždy při souhrnné aktualizaci plánovací dokumentace, nejpozději však v čtyřletých cyklech. </w:t>
      </w:r>
    </w:p>
    <w:p w:rsidR="00627838" w:rsidRDefault="00627838" w:rsidP="00627838">
      <w:r>
        <w:t xml:space="preserve">V případě zásadních změn v </w:t>
      </w:r>
      <w:r w:rsidRPr="00135C35">
        <w:t>bezpečnostní situaci</w:t>
      </w:r>
      <w:r>
        <w:t xml:space="preserve"> daného regionu je doporučena aktualizace mimo standardní cyklus. </w:t>
      </w:r>
    </w:p>
    <w:p w:rsidR="000A7C2A" w:rsidRPr="000A7C2A" w:rsidRDefault="000A7C2A" w:rsidP="00875D9F"/>
    <w:sectPr w:rsidR="000A7C2A" w:rsidRPr="000A7C2A" w:rsidSect="000A54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4C" w:rsidRDefault="004D4F4C" w:rsidP="00C50AD8">
      <w:pPr>
        <w:spacing w:after="0"/>
      </w:pPr>
      <w:r>
        <w:separator/>
      </w:r>
    </w:p>
  </w:endnote>
  <w:endnote w:type="continuationSeparator" w:id="0">
    <w:p w:rsidR="004D4F4C" w:rsidRDefault="004D4F4C" w:rsidP="00C50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71956"/>
      <w:docPartObj>
        <w:docPartGallery w:val="Page Numbers (Bottom of Page)"/>
        <w:docPartUnique/>
      </w:docPartObj>
    </w:sdtPr>
    <w:sdtEndPr/>
    <w:sdtContent>
      <w:p w:rsidR="00C50AD8" w:rsidRDefault="00A523F2">
        <w:pPr>
          <w:pStyle w:val="Zpat"/>
          <w:jc w:val="center"/>
        </w:pPr>
        <w:r>
          <w:fldChar w:fldCharType="begin"/>
        </w:r>
        <w:r w:rsidR="00C50AD8">
          <w:instrText>PAGE   \* MERGEFORMAT</w:instrText>
        </w:r>
        <w:r>
          <w:fldChar w:fldCharType="separate"/>
        </w:r>
        <w:r w:rsidR="005C20BC">
          <w:rPr>
            <w:noProof/>
          </w:rPr>
          <w:t>4</w:t>
        </w:r>
        <w:r>
          <w:fldChar w:fldCharType="end"/>
        </w:r>
      </w:p>
    </w:sdtContent>
  </w:sdt>
  <w:p w:rsidR="00C50AD8" w:rsidRDefault="00C50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4C" w:rsidRDefault="004D4F4C" w:rsidP="00C50AD8">
      <w:pPr>
        <w:spacing w:after="0"/>
      </w:pPr>
      <w:r>
        <w:separator/>
      </w:r>
    </w:p>
  </w:footnote>
  <w:footnote w:type="continuationSeparator" w:id="0">
    <w:p w:rsidR="004D4F4C" w:rsidRDefault="004D4F4C" w:rsidP="00C50A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959"/>
    <w:multiLevelType w:val="hybridMultilevel"/>
    <w:tmpl w:val="9680203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15562C"/>
    <w:multiLevelType w:val="hybridMultilevel"/>
    <w:tmpl w:val="5E9CF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1CA"/>
    <w:multiLevelType w:val="hybridMultilevel"/>
    <w:tmpl w:val="B08C59CE"/>
    <w:lvl w:ilvl="0" w:tplc="DF80D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34C24"/>
    <w:multiLevelType w:val="hybridMultilevel"/>
    <w:tmpl w:val="9BCC79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555C3"/>
    <w:multiLevelType w:val="hybridMultilevel"/>
    <w:tmpl w:val="CB0411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E81"/>
    <w:multiLevelType w:val="hybridMultilevel"/>
    <w:tmpl w:val="6BC042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40F1C"/>
    <w:multiLevelType w:val="hybridMultilevel"/>
    <w:tmpl w:val="8DDA7F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F80D0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17987"/>
    <w:multiLevelType w:val="hybridMultilevel"/>
    <w:tmpl w:val="0BC86A42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1806F0"/>
    <w:multiLevelType w:val="hybridMultilevel"/>
    <w:tmpl w:val="892E1B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5DB3DCA"/>
    <w:multiLevelType w:val="hybridMultilevel"/>
    <w:tmpl w:val="39B677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BD539D"/>
    <w:multiLevelType w:val="hybridMultilevel"/>
    <w:tmpl w:val="D390CB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F80D0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3E09C5"/>
    <w:multiLevelType w:val="hybridMultilevel"/>
    <w:tmpl w:val="08C00B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D20F46"/>
    <w:multiLevelType w:val="hybridMultilevel"/>
    <w:tmpl w:val="4AF2A206"/>
    <w:lvl w:ilvl="0" w:tplc="DF80D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352A"/>
    <w:multiLevelType w:val="hybridMultilevel"/>
    <w:tmpl w:val="8C6480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80D0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31F70"/>
    <w:multiLevelType w:val="hybridMultilevel"/>
    <w:tmpl w:val="7664604C"/>
    <w:lvl w:ilvl="0" w:tplc="DF80D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DF0138"/>
    <w:multiLevelType w:val="hybridMultilevel"/>
    <w:tmpl w:val="E4146BBA"/>
    <w:lvl w:ilvl="0" w:tplc="DF80D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73F36"/>
    <w:multiLevelType w:val="hybridMultilevel"/>
    <w:tmpl w:val="DE2A7E2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EB5D91"/>
    <w:multiLevelType w:val="hybridMultilevel"/>
    <w:tmpl w:val="AAF0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1449B"/>
    <w:multiLevelType w:val="hybridMultilevel"/>
    <w:tmpl w:val="46D8612E"/>
    <w:lvl w:ilvl="0" w:tplc="DF80D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BF5424"/>
    <w:multiLevelType w:val="hybridMultilevel"/>
    <w:tmpl w:val="49826B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17"/>
  </w:num>
  <w:num w:numId="12">
    <w:abstractNumId w:val="8"/>
  </w:num>
  <w:num w:numId="13">
    <w:abstractNumId w:val="5"/>
  </w:num>
  <w:num w:numId="14">
    <w:abstractNumId w:val="19"/>
  </w:num>
  <w:num w:numId="15">
    <w:abstractNumId w:val="11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FC7"/>
    <w:rsid w:val="00000C5C"/>
    <w:rsid w:val="00021562"/>
    <w:rsid w:val="00035924"/>
    <w:rsid w:val="00056260"/>
    <w:rsid w:val="00056391"/>
    <w:rsid w:val="000609F6"/>
    <w:rsid w:val="000676D6"/>
    <w:rsid w:val="000819C5"/>
    <w:rsid w:val="000908AD"/>
    <w:rsid w:val="00094CC1"/>
    <w:rsid w:val="000A2A1F"/>
    <w:rsid w:val="000A54FD"/>
    <w:rsid w:val="000A7C2A"/>
    <w:rsid w:val="000B1406"/>
    <w:rsid w:val="000C5432"/>
    <w:rsid w:val="000C61E1"/>
    <w:rsid w:val="000D451F"/>
    <w:rsid w:val="000D4BDC"/>
    <w:rsid w:val="000F0E7C"/>
    <w:rsid w:val="000F73E4"/>
    <w:rsid w:val="001124F3"/>
    <w:rsid w:val="0011297F"/>
    <w:rsid w:val="00147379"/>
    <w:rsid w:val="001473B3"/>
    <w:rsid w:val="0015131C"/>
    <w:rsid w:val="00152DED"/>
    <w:rsid w:val="001542BC"/>
    <w:rsid w:val="00157A10"/>
    <w:rsid w:val="00165E28"/>
    <w:rsid w:val="00166017"/>
    <w:rsid w:val="00167383"/>
    <w:rsid w:val="001675CD"/>
    <w:rsid w:val="00175841"/>
    <w:rsid w:val="00175C88"/>
    <w:rsid w:val="001770D7"/>
    <w:rsid w:val="001826FC"/>
    <w:rsid w:val="00193C06"/>
    <w:rsid w:val="001A2AAE"/>
    <w:rsid w:val="001A36BE"/>
    <w:rsid w:val="001B1280"/>
    <w:rsid w:val="001B1FC7"/>
    <w:rsid w:val="001B46ED"/>
    <w:rsid w:val="001C4514"/>
    <w:rsid w:val="001C5B58"/>
    <w:rsid w:val="001D5085"/>
    <w:rsid w:val="001D674C"/>
    <w:rsid w:val="001E1316"/>
    <w:rsid w:val="001E3F35"/>
    <w:rsid w:val="001F075C"/>
    <w:rsid w:val="001F3151"/>
    <w:rsid w:val="001F4F83"/>
    <w:rsid w:val="00202189"/>
    <w:rsid w:val="00213C3D"/>
    <w:rsid w:val="0022368E"/>
    <w:rsid w:val="002361A0"/>
    <w:rsid w:val="002372A5"/>
    <w:rsid w:val="0024325C"/>
    <w:rsid w:val="00243683"/>
    <w:rsid w:val="00261FBE"/>
    <w:rsid w:val="002808FC"/>
    <w:rsid w:val="002A6998"/>
    <w:rsid w:val="002A7A4D"/>
    <w:rsid w:val="002B5083"/>
    <w:rsid w:val="002B6DF0"/>
    <w:rsid w:val="002C3157"/>
    <w:rsid w:val="002C55D9"/>
    <w:rsid w:val="002C7F3C"/>
    <w:rsid w:val="002D0EAB"/>
    <w:rsid w:val="002D171D"/>
    <w:rsid w:val="002D5311"/>
    <w:rsid w:val="002E57E1"/>
    <w:rsid w:val="002F012A"/>
    <w:rsid w:val="002F395D"/>
    <w:rsid w:val="002F438C"/>
    <w:rsid w:val="002F6871"/>
    <w:rsid w:val="00306C6D"/>
    <w:rsid w:val="00322ECF"/>
    <w:rsid w:val="0032384C"/>
    <w:rsid w:val="003267C6"/>
    <w:rsid w:val="00336E71"/>
    <w:rsid w:val="00344479"/>
    <w:rsid w:val="00351AC6"/>
    <w:rsid w:val="00355D52"/>
    <w:rsid w:val="00360505"/>
    <w:rsid w:val="00361177"/>
    <w:rsid w:val="00362FC9"/>
    <w:rsid w:val="00373FE6"/>
    <w:rsid w:val="00382296"/>
    <w:rsid w:val="00392A09"/>
    <w:rsid w:val="0039774E"/>
    <w:rsid w:val="003A033D"/>
    <w:rsid w:val="003A3DA5"/>
    <w:rsid w:val="003A7655"/>
    <w:rsid w:val="003A7D06"/>
    <w:rsid w:val="003B7211"/>
    <w:rsid w:val="003C0865"/>
    <w:rsid w:val="003C2383"/>
    <w:rsid w:val="003C7AA0"/>
    <w:rsid w:val="003D61D7"/>
    <w:rsid w:val="003E2D9E"/>
    <w:rsid w:val="00404093"/>
    <w:rsid w:val="00404358"/>
    <w:rsid w:val="00411E31"/>
    <w:rsid w:val="0041397F"/>
    <w:rsid w:val="00417A20"/>
    <w:rsid w:val="00422D78"/>
    <w:rsid w:val="00443034"/>
    <w:rsid w:val="00455599"/>
    <w:rsid w:val="004633C4"/>
    <w:rsid w:val="00464350"/>
    <w:rsid w:val="004674FC"/>
    <w:rsid w:val="00487403"/>
    <w:rsid w:val="004902EF"/>
    <w:rsid w:val="00494AFC"/>
    <w:rsid w:val="00495FEC"/>
    <w:rsid w:val="004B2061"/>
    <w:rsid w:val="004B7B9A"/>
    <w:rsid w:val="004D3AD4"/>
    <w:rsid w:val="004D4F4C"/>
    <w:rsid w:val="004D62A9"/>
    <w:rsid w:val="004D76FC"/>
    <w:rsid w:val="004D786F"/>
    <w:rsid w:val="004E0F92"/>
    <w:rsid w:val="004E15FE"/>
    <w:rsid w:val="004E4FEE"/>
    <w:rsid w:val="004E7AAB"/>
    <w:rsid w:val="004F6BEB"/>
    <w:rsid w:val="004F6E65"/>
    <w:rsid w:val="0050159D"/>
    <w:rsid w:val="0050302F"/>
    <w:rsid w:val="0051754B"/>
    <w:rsid w:val="0052065D"/>
    <w:rsid w:val="00527AE0"/>
    <w:rsid w:val="00527C53"/>
    <w:rsid w:val="005526FF"/>
    <w:rsid w:val="0055344C"/>
    <w:rsid w:val="005653B4"/>
    <w:rsid w:val="005866C4"/>
    <w:rsid w:val="005A1B7E"/>
    <w:rsid w:val="005A4DE2"/>
    <w:rsid w:val="005C1C9E"/>
    <w:rsid w:val="005C20BC"/>
    <w:rsid w:val="005C3B03"/>
    <w:rsid w:val="005E1538"/>
    <w:rsid w:val="005E294A"/>
    <w:rsid w:val="005F27E9"/>
    <w:rsid w:val="00600E11"/>
    <w:rsid w:val="00601FDB"/>
    <w:rsid w:val="00613CE6"/>
    <w:rsid w:val="00626C28"/>
    <w:rsid w:val="00627838"/>
    <w:rsid w:val="00633DEE"/>
    <w:rsid w:val="00635141"/>
    <w:rsid w:val="006504DF"/>
    <w:rsid w:val="00652C49"/>
    <w:rsid w:val="00654E0D"/>
    <w:rsid w:val="0065556B"/>
    <w:rsid w:val="00685FF5"/>
    <w:rsid w:val="006921C9"/>
    <w:rsid w:val="00697F56"/>
    <w:rsid w:val="006C00C7"/>
    <w:rsid w:val="006D26B8"/>
    <w:rsid w:val="006D481F"/>
    <w:rsid w:val="006D6BD3"/>
    <w:rsid w:val="006D7DDF"/>
    <w:rsid w:val="006E10B4"/>
    <w:rsid w:val="006E15F2"/>
    <w:rsid w:val="006F176B"/>
    <w:rsid w:val="006F6029"/>
    <w:rsid w:val="00707EB6"/>
    <w:rsid w:val="0071082C"/>
    <w:rsid w:val="007123B7"/>
    <w:rsid w:val="00712BDE"/>
    <w:rsid w:val="007154BC"/>
    <w:rsid w:val="00720373"/>
    <w:rsid w:val="007320AB"/>
    <w:rsid w:val="00742ACE"/>
    <w:rsid w:val="007472BA"/>
    <w:rsid w:val="00752AE8"/>
    <w:rsid w:val="007531D7"/>
    <w:rsid w:val="00754499"/>
    <w:rsid w:val="007548AE"/>
    <w:rsid w:val="00756A63"/>
    <w:rsid w:val="00757360"/>
    <w:rsid w:val="00757712"/>
    <w:rsid w:val="00765191"/>
    <w:rsid w:val="0077682E"/>
    <w:rsid w:val="00780B72"/>
    <w:rsid w:val="00785080"/>
    <w:rsid w:val="00794718"/>
    <w:rsid w:val="007A2B59"/>
    <w:rsid w:val="007B3F5C"/>
    <w:rsid w:val="007B5EFB"/>
    <w:rsid w:val="007C0A36"/>
    <w:rsid w:val="007C18CB"/>
    <w:rsid w:val="007C7918"/>
    <w:rsid w:val="007D2812"/>
    <w:rsid w:val="007E02AE"/>
    <w:rsid w:val="007E10D2"/>
    <w:rsid w:val="007E2277"/>
    <w:rsid w:val="007F3578"/>
    <w:rsid w:val="007F653E"/>
    <w:rsid w:val="00804CAE"/>
    <w:rsid w:val="00806861"/>
    <w:rsid w:val="0081496A"/>
    <w:rsid w:val="00820FBE"/>
    <w:rsid w:val="0082618F"/>
    <w:rsid w:val="008338E6"/>
    <w:rsid w:val="00834D6B"/>
    <w:rsid w:val="0084278C"/>
    <w:rsid w:val="00845D35"/>
    <w:rsid w:val="00853AB1"/>
    <w:rsid w:val="00855C41"/>
    <w:rsid w:val="00857284"/>
    <w:rsid w:val="00862001"/>
    <w:rsid w:val="008640AF"/>
    <w:rsid w:val="00875D9F"/>
    <w:rsid w:val="0089245E"/>
    <w:rsid w:val="008A60CA"/>
    <w:rsid w:val="008A6ECA"/>
    <w:rsid w:val="008B3B80"/>
    <w:rsid w:val="008B772B"/>
    <w:rsid w:val="008C0260"/>
    <w:rsid w:val="008C590D"/>
    <w:rsid w:val="008D0528"/>
    <w:rsid w:val="0090643A"/>
    <w:rsid w:val="009100B7"/>
    <w:rsid w:val="00922C19"/>
    <w:rsid w:val="009235DC"/>
    <w:rsid w:val="009240FF"/>
    <w:rsid w:val="009310AF"/>
    <w:rsid w:val="00942919"/>
    <w:rsid w:val="009456AC"/>
    <w:rsid w:val="00951E9C"/>
    <w:rsid w:val="009536B6"/>
    <w:rsid w:val="00957C28"/>
    <w:rsid w:val="00962282"/>
    <w:rsid w:val="0096314D"/>
    <w:rsid w:val="00971E6B"/>
    <w:rsid w:val="00974610"/>
    <w:rsid w:val="00974819"/>
    <w:rsid w:val="00980C77"/>
    <w:rsid w:val="00982472"/>
    <w:rsid w:val="00985C1B"/>
    <w:rsid w:val="00987849"/>
    <w:rsid w:val="00994C91"/>
    <w:rsid w:val="00997017"/>
    <w:rsid w:val="009A347F"/>
    <w:rsid w:val="009C0E34"/>
    <w:rsid w:val="009C1EF3"/>
    <w:rsid w:val="009C2ABE"/>
    <w:rsid w:val="009C7394"/>
    <w:rsid w:val="009D62A3"/>
    <w:rsid w:val="009D78FB"/>
    <w:rsid w:val="009E2C46"/>
    <w:rsid w:val="009E32F2"/>
    <w:rsid w:val="009F0CA1"/>
    <w:rsid w:val="009F1C7F"/>
    <w:rsid w:val="009F546E"/>
    <w:rsid w:val="00A0182F"/>
    <w:rsid w:val="00A033CB"/>
    <w:rsid w:val="00A07B8C"/>
    <w:rsid w:val="00A11780"/>
    <w:rsid w:val="00A13B5F"/>
    <w:rsid w:val="00A1437E"/>
    <w:rsid w:val="00A14B89"/>
    <w:rsid w:val="00A202F6"/>
    <w:rsid w:val="00A2615A"/>
    <w:rsid w:val="00A27D08"/>
    <w:rsid w:val="00A30077"/>
    <w:rsid w:val="00A306CB"/>
    <w:rsid w:val="00A32421"/>
    <w:rsid w:val="00A35928"/>
    <w:rsid w:val="00A4260C"/>
    <w:rsid w:val="00A523F2"/>
    <w:rsid w:val="00A531ED"/>
    <w:rsid w:val="00A56660"/>
    <w:rsid w:val="00A75486"/>
    <w:rsid w:val="00A756CC"/>
    <w:rsid w:val="00AA6DBF"/>
    <w:rsid w:val="00AB0724"/>
    <w:rsid w:val="00AB16A8"/>
    <w:rsid w:val="00AB2717"/>
    <w:rsid w:val="00AB4715"/>
    <w:rsid w:val="00AC1DCD"/>
    <w:rsid w:val="00AC7F58"/>
    <w:rsid w:val="00AE2FA0"/>
    <w:rsid w:val="00AE336A"/>
    <w:rsid w:val="00AE5333"/>
    <w:rsid w:val="00AE582B"/>
    <w:rsid w:val="00AF0DB4"/>
    <w:rsid w:val="00AF1777"/>
    <w:rsid w:val="00AF2766"/>
    <w:rsid w:val="00AF7467"/>
    <w:rsid w:val="00B006BD"/>
    <w:rsid w:val="00B00895"/>
    <w:rsid w:val="00B026C7"/>
    <w:rsid w:val="00B10F6E"/>
    <w:rsid w:val="00B11F68"/>
    <w:rsid w:val="00B30D1A"/>
    <w:rsid w:val="00B550B3"/>
    <w:rsid w:val="00B62C1D"/>
    <w:rsid w:val="00B67268"/>
    <w:rsid w:val="00B7252F"/>
    <w:rsid w:val="00B746EB"/>
    <w:rsid w:val="00B83046"/>
    <w:rsid w:val="00B8633B"/>
    <w:rsid w:val="00B86794"/>
    <w:rsid w:val="00B9495B"/>
    <w:rsid w:val="00BA0E31"/>
    <w:rsid w:val="00BB4F92"/>
    <w:rsid w:val="00BD0462"/>
    <w:rsid w:val="00BD0663"/>
    <w:rsid w:val="00BD36EF"/>
    <w:rsid w:val="00BD664D"/>
    <w:rsid w:val="00BD6A2B"/>
    <w:rsid w:val="00BE2C71"/>
    <w:rsid w:val="00BE4A3C"/>
    <w:rsid w:val="00BF2AB0"/>
    <w:rsid w:val="00C01E11"/>
    <w:rsid w:val="00C055FD"/>
    <w:rsid w:val="00C114CE"/>
    <w:rsid w:val="00C3390F"/>
    <w:rsid w:val="00C50AD8"/>
    <w:rsid w:val="00C52728"/>
    <w:rsid w:val="00C52BED"/>
    <w:rsid w:val="00C5427B"/>
    <w:rsid w:val="00C54905"/>
    <w:rsid w:val="00C612BD"/>
    <w:rsid w:val="00C76CC5"/>
    <w:rsid w:val="00C7768A"/>
    <w:rsid w:val="00C86B5F"/>
    <w:rsid w:val="00C877CC"/>
    <w:rsid w:val="00C92327"/>
    <w:rsid w:val="00CA03F1"/>
    <w:rsid w:val="00CA132B"/>
    <w:rsid w:val="00CB1F4D"/>
    <w:rsid w:val="00CC1703"/>
    <w:rsid w:val="00CC21A5"/>
    <w:rsid w:val="00CC4025"/>
    <w:rsid w:val="00CD09E6"/>
    <w:rsid w:val="00CD27A4"/>
    <w:rsid w:val="00CD28BD"/>
    <w:rsid w:val="00CD5836"/>
    <w:rsid w:val="00CF34DC"/>
    <w:rsid w:val="00D038A5"/>
    <w:rsid w:val="00D10F9A"/>
    <w:rsid w:val="00D13B0E"/>
    <w:rsid w:val="00D245E2"/>
    <w:rsid w:val="00D26DE9"/>
    <w:rsid w:val="00D31116"/>
    <w:rsid w:val="00D37962"/>
    <w:rsid w:val="00D54C57"/>
    <w:rsid w:val="00D57CA7"/>
    <w:rsid w:val="00D609CD"/>
    <w:rsid w:val="00D632C4"/>
    <w:rsid w:val="00D677BF"/>
    <w:rsid w:val="00D7467F"/>
    <w:rsid w:val="00D83104"/>
    <w:rsid w:val="00D87E83"/>
    <w:rsid w:val="00D912A0"/>
    <w:rsid w:val="00D922E9"/>
    <w:rsid w:val="00DA007A"/>
    <w:rsid w:val="00DA0745"/>
    <w:rsid w:val="00DA23D3"/>
    <w:rsid w:val="00DA2FFB"/>
    <w:rsid w:val="00DA7F9F"/>
    <w:rsid w:val="00DA7FBD"/>
    <w:rsid w:val="00DD6F95"/>
    <w:rsid w:val="00DE6F0B"/>
    <w:rsid w:val="00DF196B"/>
    <w:rsid w:val="00DF7AAD"/>
    <w:rsid w:val="00E04694"/>
    <w:rsid w:val="00E2467C"/>
    <w:rsid w:val="00E27C7B"/>
    <w:rsid w:val="00E34209"/>
    <w:rsid w:val="00E37497"/>
    <w:rsid w:val="00E43415"/>
    <w:rsid w:val="00E50A2E"/>
    <w:rsid w:val="00E56446"/>
    <w:rsid w:val="00E56789"/>
    <w:rsid w:val="00E625DC"/>
    <w:rsid w:val="00E63252"/>
    <w:rsid w:val="00E74F8C"/>
    <w:rsid w:val="00E76394"/>
    <w:rsid w:val="00E90D22"/>
    <w:rsid w:val="00E94CD7"/>
    <w:rsid w:val="00E96055"/>
    <w:rsid w:val="00EA258F"/>
    <w:rsid w:val="00EB3D37"/>
    <w:rsid w:val="00ED3A1A"/>
    <w:rsid w:val="00EE07C0"/>
    <w:rsid w:val="00EE6C7B"/>
    <w:rsid w:val="00EF17ED"/>
    <w:rsid w:val="00EF6003"/>
    <w:rsid w:val="00EF6E52"/>
    <w:rsid w:val="00F01E60"/>
    <w:rsid w:val="00F0387E"/>
    <w:rsid w:val="00F051AC"/>
    <w:rsid w:val="00F11D45"/>
    <w:rsid w:val="00F14CD2"/>
    <w:rsid w:val="00F168BD"/>
    <w:rsid w:val="00F16FF8"/>
    <w:rsid w:val="00F33D27"/>
    <w:rsid w:val="00F501CF"/>
    <w:rsid w:val="00F52DE3"/>
    <w:rsid w:val="00F5667F"/>
    <w:rsid w:val="00F61573"/>
    <w:rsid w:val="00F709D0"/>
    <w:rsid w:val="00F81B2B"/>
    <w:rsid w:val="00F83C50"/>
    <w:rsid w:val="00F862E5"/>
    <w:rsid w:val="00F87228"/>
    <w:rsid w:val="00F97578"/>
    <w:rsid w:val="00FA21FB"/>
    <w:rsid w:val="00FA56EB"/>
    <w:rsid w:val="00FB0485"/>
    <w:rsid w:val="00FB67A1"/>
    <w:rsid w:val="00FB755A"/>
    <w:rsid w:val="00FB7B5D"/>
    <w:rsid w:val="00FC167A"/>
    <w:rsid w:val="00FC5AE3"/>
    <w:rsid w:val="00FC5D12"/>
    <w:rsid w:val="00FC6638"/>
    <w:rsid w:val="00FC759B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65B41B-3FD1-471D-9763-DC001B7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C2A"/>
    <w:pPr>
      <w:spacing w:after="6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546E"/>
    <w:pPr>
      <w:ind w:left="720"/>
      <w:contextualSpacing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A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0AD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50AD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0AD8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5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8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84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84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Krömer Antonín</cp:lastModifiedBy>
  <cp:revision>49</cp:revision>
  <cp:lastPrinted>2015-11-13T09:34:00Z</cp:lastPrinted>
  <dcterms:created xsi:type="dcterms:W3CDTF">2015-11-12T08:29:00Z</dcterms:created>
  <dcterms:modified xsi:type="dcterms:W3CDTF">2016-02-10T13:04:00Z</dcterms:modified>
</cp:coreProperties>
</file>